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rPr>
          <w:rFonts w:hint="eastAsia" w:ascii="黑体" w:hAnsi="黑体" w:eastAsia="黑体" w:cs="黑体"/>
          <w:sz w:val="32"/>
          <w:szCs w:val="32"/>
          <w:lang w:val="en-US" w:eastAsia="zh-CN"/>
        </w:rPr>
      </w:pPr>
      <w:r>
        <w:rPr>
          <w:rFonts w:hint="eastAsia" w:ascii="黑体" w:hAnsi="黑体" w:eastAsia="黑体" w:cs="黑体"/>
          <w:b w:val="0"/>
          <w:bCs w:val="0"/>
          <w:sz w:val="32"/>
          <w:szCs w:val="32"/>
          <w:highlight w:val="none"/>
          <w:lang w:val="en-US" w:eastAsia="zh-CN"/>
        </w:rPr>
        <w:t>附件1</w:t>
      </w:r>
    </w:p>
    <w:p>
      <w:pPr>
        <w:pStyle w:val="7"/>
        <w:keepNext w:val="0"/>
        <w:keepLines w:val="0"/>
        <w:pageBreakBefore w:val="0"/>
        <w:widowControl w:val="0"/>
        <w:kinsoku/>
        <w:wordWrap/>
        <w:overflowPunct/>
        <w:topLinePunct w:val="0"/>
        <w:autoSpaceDE/>
        <w:autoSpaceDN/>
        <w:bidi w:val="0"/>
        <w:snapToGrid/>
        <w:spacing w:before="0" w:after="0" w:line="600" w:lineRule="exact"/>
        <w:textAlignment w:val="auto"/>
        <w:rPr>
          <w:rFonts w:hint="eastAsia" w:ascii="方正小标宋简体" w:hAnsi="方正小标宋简体" w:eastAsia="方正小标宋简体" w:cs="方正小标宋简体"/>
          <w:b w:val="0"/>
          <w:bCs w:val="0"/>
          <w:sz w:val="44"/>
          <w:szCs w:val="44"/>
          <w:highlight w:val="none"/>
          <w:lang w:val="en-US" w:eastAsia="zh-CN"/>
        </w:rPr>
      </w:pPr>
    </w:p>
    <w:p>
      <w:pPr>
        <w:pStyle w:val="7"/>
        <w:keepNext w:val="0"/>
        <w:keepLines w:val="0"/>
        <w:pageBreakBefore w:val="0"/>
        <w:widowControl w:val="0"/>
        <w:kinsoku/>
        <w:wordWrap/>
        <w:overflowPunct/>
        <w:topLinePunct w:val="0"/>
        <w:autoSpaceDE/>
        <w:autoSpaceDN/>
        <w:bidi w:val="0"/>
        <w:snapToGrid/>
        <w:spacing w:before="0" w:after="0" w:line="600" w:lineRule="exact"/>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val="en-US" w:eastAsia="zh-CN"/>
        </w:rPr>
        <w:t>2025年</w:t>
      </w:r>
      <w:r>
        <w:rPr>
          <w:rFonts w:hint="eastAsia" w:ascii="方正小标宋简体" w:hAnsi="方正小标宋简体" w:eastAsia="方正小标宋简体" w:cs="方正小标宋简体"/>
          <w:b w:val="0"/>
          <w:bCs w:val="0"/>
          <w:sz w:val="44"/>
          <w:szCs w:val="44"/>
          <w:highlight w:val="none"/>
        </w:rPr>
        <w:t>福建省营商环境数字化监测</w:t>
      </w:r>
    </w:p>
    <w:p>
      <w:pPr>
        <w:pStyle w:val="7"/>
        <w:keepNext w:val="0"/>
        <w:keepLines w:val="0"/>
        <w:pageBreakBefore w:val="0"/>
        <w:widowControl w:val="0"/>
        <w:kinsoku/>
        <w:wordWrap/>
        <w:overflowPunct/>
        <w:topLinePunct w:val="0"/>
        <w:autoSpaceDE/>
        <w:autoSpaceDN/>
        <w:bidi w:val="0"/>
        <w:snapToGrid/>
        <w:spacing w:before="0" w:after="0" w:line="600" w:lineRule="exact"/>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督导机制实施方案</w:t>
      </w:r>
    </w:p>
    <w:p>
      <w:pPr>
        <w:keepNext w:val="0"/>
        <w:keepLines w:val="0"/>
        <w:pageBreakBefore w:val="0"/>
        <w:widowControl w:val="0"/>
        <w:kinsoku/>
        <w:wordWrap/>
        <w:overflowPunct/>
        <w:topLinePunct w:val="0"/>
        <w:autoSpaceDE/>
        <w:autoSpaceDN/>
        <w:bidi w:val="0"/>
        <w:snapToGrid/>
        <w:spacing w:line="600" w:lineRule="exact"/>
        <w:textAlignment w:val="auto"/>
        <w:rPr>
          <w:rFonts w:hint="eastAsia"/>
          <w:highlight w:val="none"/>
        </w:rPr>
      </w:pPr>
    </w:p>
    <w:p>
      <w:pPr>
        <w:keepNext w:val="0"/>
        <w:keepLines w:val="0"/>
        <w:pageBreakBefore w:val="0"/>
        <w:widowControl w:val="0"/>
        <w:pBdr>
          <w:bottom w:val="none" w:color="FFFFFF" w:sz="0" w:space="29"/>
        </w:pBdr>
        <w:tabs>
          <w:tab w:val="left" w:pos="1440"/>
        </w:tabs>
        <w:kinsoku/>
        <w:wordWrap/>
        <w:overflowPunct/>
        <w:topLinePunct w:val="0"/>
        <w:autoSpaceDE/>
        <w:autoSpaceDN/>
        <w:bidi w:val="0"/>
        <w:adjustRightInd w:val="0"/>
        <w:snapToGrid/>
        <w:spacing w:line="600" w:lineRule="exact"/>
        <w:ind w:firstLine="640" w:firstLineChars="200"/>
        <w:textAlignment w:val="auto"/>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一、总体思路</w:t>
      </w:r>
    </w:p>
    <w:p>
      <w:pPr>
        <w:keepNext w:val="0"/>
        <w:keepLines w:val="0"/>
        <w:pageBreakBefore w:val="0"/>
        <w:widowControl w:val="0"/>
        <w:suppressLineNumbers w:val="0"/>
        <w:pBdr>
          <w:bottom w:val="none" w:color="FFFFFF" w:sz="0" w:space="29"/>
        </w:pBdr>
        <w:tabs>
          <w:tab w:val="left" w:pos="1440"/>
        </w:tabs>
        <w:kinsoku/>
        <w:wordWrap/>
        <w:overflowPunct/>
        <w:topLinePunct w:val="0"/>
        <w:autoSpaceDE/>
        <w:autoSpaceDN/>
        <w:bidi w:val="0"/>
        <w:adjustRightInd w:val="0"/>
        <w:snapToGrid/>
        <w:spacing w:before="0" w:beforeAutospacing="0" w:after="0" w:afterAutospacing="0" w:line="600" w:lineRule="exact"/>
        <w:ind w:left="0" w:leftChars="0" w:right="0" w:firstLine="0" w:firstLineChars="0"/>
        <w:jc w:val="both"/>
        <w:textAlignment w:val="auto"/>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pPr>
      <w:r>
        <w:rPr>
          <w:rFonts w:hint="default" w:ascii="仿宋" w:hAnsi="仿宋" w:eastAsia="仿宋" w:cs="仿宋"/>
          <w:color w:val="000000" w:themeColor="text1"/>
          <w:kern w:val="2"/>
          <w:sz w:val="32"/>
          <w:szCs w:val="32"/>
          <w:highlight w:val="none"/>
          <w:lang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根据《福建省优化营商环境条例》，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借鉴</w:t>
      </w:r>
      <w:r>
        <w:rPr>
          <w:rFonts w:hint="eastAsia" w:ascii="仿宋_GB2312" w:hAnsi="仿宋_GB2312" w:eastAsia="仿宋_GB2312" w:cs="仿宋_GB2312"/>
          <w:color w:val="000000" w:themeColor="text1"/>
          <w:sz w:val="32"/>
          <w:szCs w:val="32"/>
          <w:highlight w:val="none"/>
          <w14:textFill>
            <w14:solidFill>
              <w14:schemeClr w14:val="tx1"/>
            </w14:solidFill>
          </w14:textFill>
        </w:rPr>
        <w:t>前期推进营商环境建设工作经验，</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结合营商环境发展新趋势新特点和党中央、国务院关于优化营商环境工作的决策部署及省委、省政府工作安排，</w:t>
      </w:r>
      <w:r>
        <w:rPr>
          <w:rFonts w:hint="eastAsia" w:ascii="仿宋_GB2312" w:hAnsi="仿宋_GB2312" w:eastAsia="仿宋_GB2312" w:cs="仿宋_GB2312"/>
          <w:color w:val="000000" w:themeColor="text1"/>
          <w:sz w:val="32"/>
          <w:szCs w:val="32"/>
          <w:highlight w:val="none"/>
          <w14:textFill>
            <w14:solidFill>
              <w14:schemeClr w14:val="tx1"/>
            </w14:solidFill>
          </w14:textFill>
        </w:rPr>
        <w:t>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经营</w:t>
      </w:r>
      <w:r>
        <w:rPr>
          <w:rFonts w:hint="eastAsia" w:ascii="仿宋_GB2312" w:hAnsi="仿宋_GB2312" w:eastAsia="仿宋_GB2312" w:cs="仿宋_GB2312"/>
          <w:color w:val="000000" w:themeColor="text1"/>
          <w:sz w:val="32"/>
          <w:szCs w:val="32"/>
          <w:highlight w:val="none"/>
          <w14:textFill>
            <w14:solidFill>
              <w14:schemeClr w14:val="tx1"/>
            </w14:solidFill>
          </w14:textFill>
        </w:rPr>
        <w:t>主体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获得感和满意度</w:t>
      </w:r>
      <w:r>
        <w:rPr>
          <w:rFonts w:hint="eastAsia" w:ascii="仿宋_GB2312" w:hAnsi="仿宋_GB2312" w:eastAsia="仿宋_GB2312" w:cs="仿宋_GB2312"/>
          <w:color w:val="000000" w:themeColor="text1"/>
          <w:sz w:val="32"/>
          <w:szCs w:val="32"/>
          <w:highlight w:val="none"/>
          <w14:textFill>
            <w14:solidFill>
              <w14:schemeClr w14:val="tx1"/>
            </w14:solidFill>
          </w14:textFill>
        </w:rPr>
        <w:t>出发，充分运用“数字福建”建设成果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优化</w:t>
      </w:r>
      <w:r>
        <w:rPr>
          <w:rFonts w:hint="eastAsia" w:ascii="仿宋_GB2312" w:hAnsi="仿宋_GB2312" w:eastAsia="仿宋_GB2312" w:cs="仿宋_GB2312"/>
          <w:color w:val="000000" w:themeColor="text1"/>
          <w:sz w:val="32"/>
          <w:szCs w:val="32"/>
          <w:highlight w:val="none"/>
          <w14:textFill>
            <w14:solidFill>
              <w14:schemeClr w14:val="tx1"/>
            </w14:solidFill>
          </w14:textFill>
        </w:rPr>
        <w:t>营商环</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境数字化监测督导机制</w:t>
      </w:r>
      <w:r>
        <w:rPr>
          <w:rFonts w:hint="eastAsia" w:ascii="仿宋_GB2312" w:hAnsi="仿宋_GB2312" w:eastAsia="仿宋_GB2312" w:cs="仿宋_GB2312"/>
          <w:color w:val="000000" w:themeColor="text1"/>
          <w:sz w:val="32"/>
          <w:szCs w:val="32"/>
          <w:highlight w:val="none"/>
          <w:lang w:val="en"/>
          <w14:textFill>
            <w14:solidFill>
              <w14:schemeClr w14:val="tx1"/>
            </w14:solidFill>
          </w14:textFill>
        </w:rPr>
        <w:t>，客观</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反映我省营商环境现状，及时发现问题，</w:t>
      </w:r>
      <w:r>
        <w:rPr>
          <w:rFonts w:hint="eastAsia" w:ascii="仿宋_GB2312" w:hAnsi="仿宋_GB2312" w:eastAsia="仿宋_GB2312" w:cs="仿宋_GB2312"/>
          <w:color w:val="000000" w:themeColor="text1"/>
          <w:spacing w:val="-5"/>
          <w:kern w:val="0"/>
          <w:sz w:val="32"/>
          <w:szCs w:val="32"/>
          <w:highlight w:val="none"/>
          <w:lang w:val="en-US" w:eastAsia="zh-CN"/>
          <w14:textFill>
            <w14:solidFill>
              <w14:schemeClr w14:val="tx1"/>
            </w14:solidFill>
          </w14:textFill>
        </w:rPr>
        <w:t>推动</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解决问题，</w:t>
      </w:r>
      <w:r>
        <w:rPr>
          <w:rFonts w:hint="eastAsia" w:ascii="仿宋_GB2312" w:hAnsi="仿宋_GB2312" w:eastAsia="仿宋_GB2312" w:cs="仿宋_GB2312"/>
          <w:i w:val="0"/>
          <w:iCs w:val="0"/>
          <w:caps w:val="0"/>
          <w:color w:val="000000" w:themeColor="text1"/>
          <w:spacing w:val="-5"/>
          <w:kern w:val="0"/>
          <w:sz w:val="32"/>
          <w:szCs w:val="32"/>
          <w:highlight w:val="none"/>
          <w:shd w:val="clear"/>
          <w14:textFill>
            <w14:solidFill>
              <w14:schemeClr w14:val="tx1"/>
            </w14:solidFill>
          </w14:textFill>
        </w:rPr>
        <w:t>全力打造市场化、法治化、国际化、便利化一流营商环境。</w:t>
      </w:r>
    </w:p>
    <w:p>
      <w:pPr>
        <w:keepNext w:val="0"/>
        <w:keepLines w:val="0"/>
        <w:pageBreakBefore w:val="0"/>
        <w:widowControl w:val="0"/>
        <w:numPr>
          <w:ilvl w:val="0"/>
          <w:numId w:val="0"/>
        </w:numPr>
        <w:pBdr>
          <w:bottom w:val="none" w:color="FFFFFF" w:sz="0" w:space="29"/>
        </w:pBdr>
        <w:tabs>
          <w:tab w:val="left" w:pos="1440"/>
        </w:tabs>
        <w:kinsoku/>
        <w:wordWrap/>
        <w:overflowPunct/>
        <w:topLinePunct w:val="0"/>
        <w:autoSpaceDE/>
        <w:autoSpaceDN/>
        <w:bidi w:val="0"/>
        <w:adjustRightInd w:val="0"/>
        <w:snapToGrid/>
        <w:spacing w:line="600" w:lineRule="exact"/>
        <w:ind w:left="640" w:leftChars="0" w:firstLine="0" w:firstLineChars="0"/>
        <w:textAlignment w:val="auto"/>
        <w:outlineLvl w:val="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w:t>
      </w:r>
      <w:r>
        <w:rPr>
          <w:rFonts w:hint="eastAsia" w:ascii="黑体" w:hAnsi="黑体" w:eastAsia="黑体" w:cs="黑体"/>
          <w:color w:val="000000" w:themeColor="text1"/>
          <w:sz w:val="32"/>
          <w:szCs w:val="32"/>
          <w:highlight w:val="none"/>
          <w14:textFill>
            <w14:solidFill>
              <w14:schemeClr w14:val="tx1"/>
            </w14:solidFill>
          </w14:textFill>
        </w:rPr>
        <w:t>主要内容</w:t>
      </w:r>
    </w:p>
    <w:p>
      <w:pPr>
        <w:keepNext w:val="0"/>
        <w:keepLines w:val="0"/>
        <w:pageBreakBefore w:val="0"/>
        <w:widowControl/>
        <w:numPr>
          <w:ilvl w:val="-1"/>
          <w:numId w:val="0"/>
        </w:numPr>
        <w:pBdr>
          <w:bottom w:val="none" w:color="auto" w:sz="0" w:space="0"/>
        </w:pBd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营商环境数字化监测督导机制包含营商环境日常监测、</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经营</w:t>
      </w:r>
      <w:r>
        <w:rPr>
          <w:rFonts w:hint="eastAsia" w:ascii="仿宋_GB2312" w:hAnsi="仿宋_GB2312" w:eastAsia="仿宋_GB2312" w:cs="仿宋_GB2312"/>
          <w:strike w:val="0"/>
          <w:dstrike w:val="0"/>
          <w:color w:val="000000" w:themeColor="text1"/>
          <w:spacing w:val="0"/>
          <w:kern w:val="2"/>
          <w:sz w:val="32"/>
          <w:szCs w:val="32"/>
          <w:highlight w:val="none"/>
          <w14:textFill>
            <w14:solidFill>
              <w14:schemeClr w14:val="tx1"/>
            </w14:solidFill>
          </w14:textFill>
        </w:rPr>
        <w:t>主体</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满意度调查、</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创新举措</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三方面</w:t>
      </w:r>
      <w:r>
        <w:rPr>
          <w:rFonts w:hint="eastAsia" w:ascii="仿宋_GB2312" w:hAnsi="仿宋_GB2312" w:eastAsia="仿宋_GB2312" w:cs="仿宋_GB2312"/>
          <w:color w:val="000000" w:themeColor="text1"/>
          <w:sz w:val="32"/>
          <w:szCs w:val="32"/>
          <w:highlight w:val="none"/>
          <w14:textFill>
            <w14:solidFill>
              <w14:schemeClr w14:val="tx1"/>
            </w14:solidFill>
          </w14:textFill>
        </w:rPr>
        <w:t>内容。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参照国家发展改革委原有营商环境评价做法，将年度营商环境监测督导结果分为标杆、优良、良好三档，每档按行政区划序号排列，不分先后</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。选择其中若干关键指标</w:t>
      </w:r>
      <w:r>
        <w:rPr>
          <w:rFonts w:hint="eastAsia" w:ascii="仿宋_GB2312" w:hAnsi="仿宋_GB2312" w:eastAsia="仿宋_GB2312" w:cs="仿宋_GB2312"/>
          <w:color w:val="000000" w:themeColor="text1"/>
          <w:spacing w:val="0"/>
          <w:kern w:val="2"/>
          <w:sz w:val="32"/>
          <w:szCs w:val="32"/>
          <w:highlight w:val="none"/>
          <w:lang w:eastAsia="zh-CN" w:bidi="ar"/>
          <w14:textFill>
            <w14:solidFill>
              <w14:schemeClr w14:val="tx1"/>
            </w14:solidFill>
          </w14:textFill>
        </w:rPr>
        <w:t>完成情况</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作为地方政府年度绩效考核指标“营商便利度指数”的计算依据。</w:t>
      </w:r>
    </w:p>
    <w:p>
      <w:pPr>
        <w:keepNext w:val="0"/>
        <w:keepLines w:val="0"/>
        <w:pageBreakBefore w:val="0"/>
        <w:widowControl/>
        <w:pBdr>
          <w:bottom w:val="none" w:color="auto" w:sz="0" w:space="0"/>
        </w:pBdr>
        <w:kinsoku/>
        <w:wordWrap/>
        <w:overflowPunct/>
        <w:topLinePunct w:val="0"/>
        <w:autoSpaceDE/>
        <w:autoSpaceDN/>
        <w:bidi w:val="0"/>
        <w:adjustRightInd/>
        <w:snapToGrid/>
        <w:spacing w:line="600" w:lineRule="exact"/>
        <w:ind w:firstLine="620" w:firstLineChars="200"/>
        <w:textAlignment w:val="auto"/>
        <w:rPr>
          <w:rFonts w:asciiTheme="minorHAnsi" w:hAnsiTheme="minorHAnsi" w:eastAsiaTheme="minorEastAsia" w:cstheme="minorBidi"/>
          <w:color w:val="000000" w:themeColor="text1"/>
          <w:spacing w:val="0"/>
          <w:kern w:val="2"/>
          <w:sz w:val="21"/>
          <w:szCs w:val="24"/>
          <w:highlight w:val="none"/>
          <w14:textFill>
            <w14:solidFill>
              <w14:schemeClr w14:val="tx1"/>
            </w14:solidFill>
          </w14:textFill>
        </w:rPr>
      </w:pPr>
      <w:r>
        <w:rPr>
          <w:rFonts w:hint="default" w:ascii="华文楷体" w:hAnsi="华文楷体" w:eastAsia="华文楷体" w:cs="方正楷体_GBK"/>
          <w:b/>
          <w:bCs/>
          <w:color w:val="000000" w:themeColor="text1"/>
          <w:spacing w:val="-5"/>
          <w:kern w:val="0"/>
          <w:sz w:val="32"/>
          <w:szCs w:val="32"/>
          <w:highlight w:val="none"/>
          <w14:textFill>
            <w14:solidFill>
              <w14:schemeClr w14:val="tx1"/>
            </w14:solidFill>
          </w14:textFill>
        </w:rPr>
        <w:t>（一）营商环境日常监测。</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构建具有福建特色的数字化监测督导指标体系，明确</w:t>
      </w:r>
      <w:r>
        <w:rPr>
          <w:rFonts w:hint="eastAsia" w:ascii="仿宋_GB2312" w:hAnsi="仿宋_GB2312" w:eastAsia="仿宋_GB2312" w:cs="仿宋_GB2312"/>
          <w:color w:val="000000" w:themeColor="text1"/>
          <w:spacing w:val="-5"/>
          <w:kern w:val="0"/>
          <w:sz w:val="32"/>
          <w:szCs w:val="32"/>
          <w:highlight w:val="none"/>
          <w:lang w:val="en-US" w:eastAsia="zh-CN"/>
          <w14:textFill>
            <w14:solidFill>
              <w14:schemeClr w14:val="tx1"/>
            </w14:solidFill>
          </w14:textFill>
        </w:rPr>
        <w:t>各监测事项业务口径、计算规则、</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数据来源、渠道和频次，</w:t>
      </w:r>
      <w:r>
        <w:rPr>
          <w:rFonts w:hint="eastAsia" w:ascii="仿宋_GB2312" w:hAnsi="仿宋_GB2312" w:eastAsia="仿宋_GB2312" w:cs="仿宋_GB2312"/>
          <w:color w:val="000000" w:themeColor="text1"/>
          <w:spacing w:val="-5"/>
          <w:kern w:val="0"/>
          <w:sz w:val="32"/>
          <w:szCs w:val="32"/>
          <w:highlight w:val="none"/>
          <w:lang w:val="en-US" w:eastAsia="zh-CN"/>
          <w14:textFill>
            <w14:solidFill>
              <w14:schemeClr w14:val="tx1"/>
            </w14:solidFill>
          </w14:textFill>
        </w:rPr>
        <w:t>利用大数据</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抓取</w:t>
      </w:r>
      <w:r>
        <w:rPr>
          <w:rFonts w:hint="eastAsia" w:ascii="仿宋_GB2312" w:hAnsi="仿宋_GB2312" w:eastAsia="仿宋_GB2312" w:cs="仿宋_GB2312"/>
          <w:color w:val="000000" w:themeColor="text1"/>
          <w:spacing w:val="-5"/>
          <w:kern w:val="0"/>
          <w:sz w:val="32"/>
          <w:szCs w:val="32"/>
          <w:highlight w:val="none"/>
          <w:lang w:val="en-US" w:eastAsia="zh-CN"/>
          <w14:textFill>
            <w14:solidFill>
              <w14:schemeClr w14:val="tx1"/>
            </w14:solidFill>
          </w14:textFill>
        </w:rPr>
        <w:t>、线上报送等多种手段汇聚</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营商环境相关数据，动态监测各设区市、平潭综合实验区各项指标完成情况，以及营商环境</w:t>
      </w:r>
      <w:r>
        <w:rPr>
          <w:rFonts w:hint="eastAsia" w:ascii="仿宋_GB2312" w:hAnsi="仿宋_GB2312" w:eastAsia="仿宋_GB2312" w:cs="仿宋_GB2312"/>
          <w:color w:val="000000" w:themeColor="text1"/>
          <w:spacing w:val="-5"/>
          <w:kern w:val="0"/>
          <w:sz w:val="32"/>
          <w:szCs w:val="32"/>
          <w:highlight w:val="none"/>
          <w:lang w:val="en-US" w:eastAsia="zh-CN"/>
          <w14:textFill>
            <w14:solidFill>
              <w14:schemeClr w14:val="tx1"/>
            </w14:solidFill>
          </w14:textFill>
        </w:rPr>
        <w:t>目标</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任务</w:t>
      </w:r>
      <w:r>
        <w:rPr>
          <w:rFonts w:hint="eastAsia" w:ascii="仿宋_GB2312" w:hAnsi="仿宋_GB2312" w:eastAsia="仿宋_GB2312" w:cs="仿宋_GB2312"/>
          <w:color w:val="000000" w:themeColor="text1"/>
          <w:spacing w:val="-5"/>
          <w:kern w:val="0"/>
          <w:sz w:val="32"/>
          <w:szCs w:val="32"/>
          <w:highlight w:val="none"/>
          <w:lang w:val="en-US" w:eastAsia="zh-CN"/>
          <w14:textFill>
            <w14:solidFill>
              <w14:schemeClr w14:val="tx1"/>
            </w14:solidFill>
          </w14:textFill>
        </w:rPr>
        <w:t>落实完成</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情况。及时发现问题，形成问题清单，督导各地各部门整改，并将整改情况纳入监测内容。</w:t>
      </w:r>
      <w:r>
        <w:rPr>
          <w:rFonts w:hint="eastAsia" w:ascii="仿宋_GB2312" w:hAnsi="仿宋_GB2312" w:eastAsia="仿宋_GB2312" w:cs="仿宋_GB2312"/>
          <w:color w:val="000000" w:themeColor="text1"/>
          <w:spacing w:val="-5"/>
          <w:kern w:val="0"/>
          <w:sz w:val="32"/>
          <w:szCs w:val="32"/>
          <w:highlight w:val="none"/>
          <w:lang w:val="en-US" w:eastAsia="zh-CN"/>
          <w14:textFill>
            <w14:solidFill>
              <w14:schemeClr w14:val="tx1"/>
            </w14:solidFill>
          </w14:textFill>
        </w:rPr>
        <w:t>同时</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对各地营商环境建设情况开展</w:t>
      </w:r>
      <w:r>
        <w:rPr>
          <w:rFonts w:hint="eastAsia" w:ascii="仿宋_GB2312" w:hAnsi="仿宋_GB2312" w:eastAsia="仿宋_GB2312" w:cs="仿宋_GB2312"/>
          <w:color w:val="000000" w:themeColor="text1"/>
          <w:spacing w:val="-5"/>
          <w:kern w:val="0"/>
          <w:sz w:val="32"/>
          <w:szCs w:val="32"/>
          <w:highlight w:val="none"/>
          <w:lang w:val="en-US" w:eastAsia="zh-CN"/>
          <w14:textFill>
            <w14:solidFill>
              <w14:schemeClr w14:val="tx1"/>
            </w14:solidFill>
          </w14:textFill>
        </w:rPr>
        <w:t>实地走访核验</w:t>
      </w:r>
      <w:r>
        <w:rPr>
          <w:rFonts w:hint="eastAsia" w:ascii="仿宋_GB2312" w:hAnsi="仿宋_GB2312" w:eastAsia="仿宋_GB2312" w:cs="仿宋_GB2312"/>
          <w:color w:val="000000" w:themeColor="text1"/>
          <w:spacing w:val="-5"/>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核验日常监测数据，发现与实际情况不符的，</w:t>
      </w:r>
      <w:r>
        <w:rPr>
          <w:rFonts w:hint="eastAsia" w:ascii="仿宋_GB2312" w:hAnsi="仿宋_GB2312" w:eastAsia="仿宋_GB2312" w:cs="仿宋_GB2312"/>
          <w:color w:val="000000" w:themeColor="text1"/>
          <w:spacing w:val="-5"/>
          <w:kern w:val="0"/>
          <w:sz w:val="32"/>
          <w:szCs w:val="32"/>
          <w:highlight w:val="none"/>
          <w:lang w:val="en-US"/>
          <w14:textFill>
            <w14:solidFill>
              <w14:schemeClr w14:val="tx1"/>
            </w14:solidFill>
          </w14:textFill>
        </w:rPr>
        <w:t>予以</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相应扣分。</w:t>
      </w:r>
      <w:r>
        <w:rPr>
          <w:rFonts w:hint="eastAsia" w:ascii="仿宋_GB2312" w:hAnsi="仿宋_GB2312" w:eastAsia="仿宋_GB2312" w:cs="仿宋_GB2312"/>
          <w:color w:val="000000" w:themeColor="text1"/>
          <w:spacing w:val="-5"/>
          <w:kern w:val="0"/>
          <w:sz w:val="32"/>
          <w:szCs w:val="32"/>
          <w:highlight w:val="none"/>
          <w:lang w:val="en-US" w:eastAsia="zh-CN"/>
          <w14:textFill>
            <w14:solidFill>
              <w14:schemeClr w14:val="tx1"/>
            </w14:solidFill>
          </w14:textFill>
        </w:rPr>
        <w:t>最终</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根据监测督导情况，分析各地营商环境建设</w:t>
      </w:r>
      <w:r>
        <w:rPr>
          <w:rFonts w:hint="eastAsia" w:ascii="仿宋_GB2312" w:hAnsi="仿宋_GB2312" w:eastAsia="仿宋_GB2312" w:cs="仿宋_GB2312"/>
          <w:color w:val="000000" w:themeColor="text1"/>
          <w:spacing w:val="-5"/>
          <w:kern w:val="0"/>
          <w:sz w:val="32"/>
          <w:szCs w:val="32"/>
          <w:highlight w:val="none"/>
          <w:lang w:val="en-US"/>
          <w14:textFill>
            <w14:solidFill>
              <w14:schemeClr w14:val="tx1"/>
            </w14:solidFill>
          </w14:textFill>
        </w:rPr>
        <w:t>情况</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，形成分析报告</w:t>
      </w:r>
      <w:r>
        <w:rPr>
          <w:rFonts w:hint="eastAsia" w:ascii="仿宋_GB2312" w:hAnsi="仿宋_GB2312" w:eastAsia="仿宋_GB2312" w:cs="仿宋_GB2312"/>
          <w:color w:val="000000" w:themeColor="text1"/>
          <w:spacing w:val="-5"/>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5"/>
          <w:kern w:val="0"/>
          <w:sz w:val="32"/>
          <w:szCs w:val="32"/>
          <w:highlight w:val="none"/>
          <w:lang w:val="en-US" w:eastAsia="zh-CN"/>
          <w14:textFill>
            <w14:solidFill>
              <w14:schemeClr w14:val="tx1"/>
            </w14:solidFill>
          </w14:textFill>
        </w:rPr>
        <w:t>为优化提升各地营商环境提供依据</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600" w:lineRule="exact"/>
        <w:ind w:firstLine="62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default" w:ascii="华文楷体" w:hAnsi="华文楷体" w:eastAsia="华文楷体" w:cs="方正楷体_GBK"/>
          <w:b/>
          <w:bCs/>
          <w:color w:val="000000" w:themeColor="text1"/>
          <w:spacing w:val="-5"/>
          <w:kern w:val="0"/>
          <w:sz w:val="32"/>
          <w:szCs w:val="32"/>
          <w:highlight w:val="none"/>
          <w14:textFill>
            <w14:solidFill>
              <w14:schemeClr w14:val="tx1"/>
            </w14:solidFill>
          </w14:textFill>
        </w:rPr>
        <w:t>（二）</w:t>
      </w:r>
      <w:r>
        <w:rPr>
          <w:rFonts w:hint="default" w:ascii="华文楷体" w:hAnsi="华文楷体" w:eastAsia="华文楷体" w:cs="方正楷体_GBK"/>
          <w:b/>
          <w:bCs/>
          <w:strike w:val="0"/>
          <w:dstrike w:val="0"/>
          <w:color w:val="000000" w:themeColor="text1"/>
          <w:spacing w:val="-5"/>
          <w:kern w:val="0"/>
          <w:sz w:val="32"/>
          <w:szCs w:val="32"/>
          <w:highlight w:val="none"/>
          <w:lang w:val="en-US" w:eastAsia="zh-CN"/>
          <w14:textFill>
            <w14:solidFill>
              <w14:schemeClr w14:val="tx1"/>
            </w14:solidFill>
          </w14:textFill>
        </w:rPr>
        <w:t>经营</w:t>
      </w:r>
      <w:r>
        <w:rPr>
          <w:rFonts w:hint="default" w:ascii="华文楷体" w:hAnsi="华文楷体" w:eastAsia="华文楷体" w:cs="方正楷体_GBK"/>
          <w:b/>
          <w:bCs/>
          <w:color w:val="000000" w:themeColor="text1"/>
          <w:spacing w:val="-5"/>
          <w:kern w:val="0"/>
          <w:sz w:val="32"/>
          <w:szCs w:val="32"/>
          <w:highlight w:val="none"/>
          <w14:textFill>
            <w14:solidFill>
              <w14:schemeClr w14:val="tx1"/>
            </w14:solidFill>
          </w14:textFill>
        </w:rPr>
        <w:t>主体满意度调查。</w:t>
      </w:r>
      <w:r>
        <w:rPr>
          <w:rFonts w:hint="eastAsia" w:ascii="仿宋_GB2312" w:hAnsi="仿宋_GB2312" w:eastAsia="仿宋_GB2312" w:cs="仿宋_GB2312"/>
          <w:b w:val="0"/>
          <w:bCs w:val="0"/>
          <w:color w:val="000000" w:themeColor="text1"/>
          <w:spacing w:val="-5"/>
          <w:kern w:val="0"/>
          <w:sz w:val="32"/>
          <w:szCs w:val="32"/>
          <w:highlight w:val="none"/>
          <w14:textFill>
            <w14:solidFill>
              <w14:schemeClr w14:val="tx1"/>
            </w14:solidFill>
          </w14:textFill>
        </w:rPr>
        <w:t>健全经营主体参与营商环境建设的机制，进一步强化市场经营主体需求的导向作用</w:t>
      </w:r>
      <w:r>
        <w:rPr>
          <w:rFonts w:hint="eastAsia" w:ascii="仿宋_GB2312" w:hAnsi="仿宋_GB2312" w:eastAsia="仿宋_GB2312" w:cs="仿宋_GB2312"/>
          <w:b w:val="0"/>
          <w:bCs w:val="0"/>
          <w:color w:val="000000" w:themeColor="text1"/>
          <w:spacing w:val="-5"/>
          <w:kern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5"/>
          <w:kern w:val="0"/>
          <w:sz w:val="32"/>
          <w:szCs w:val="32"/>
          <w:highlight w:val="none"/>
          <w14:textFill>
            <w14:solidFill>
              <w14:schemeClr w14:val="tx1"/>
            </w14:solidFill>
          </w14:textFill>
        </w:rPr>
        <w:t>客观真实反映</w:t>
      </w:r>
      <w:r>
        <w:rPr>
          <w:rFonts w:hint="eastAsia" w:ascii="仿宋_GB2312" w:hAnsi="仿宋_GB2312" w:eastAsia="仿宋_GB2312" w:cs="仿宋_GB2312"/>
          <w:b w:val="0"/>
          <w:bCs w:val="0"/>
          <w:strike w:val="0"/>
          <w:dstrike w:val="0"/>
          <w:color w:val="000000" w:themeColor="text1"/>
          <w:spacing w:val="-5"/>
          <w:kern w:val="0"/>
          <w:sz w:val="32"/>
          <w:szCs w:val="32"/>
          <w:highlight w:val="none"/>
          <w:lang w:val="en-US" w:eastAsia="zh-CN"/>
          <w14:textFill>
            <w14:solidFill>
              <w14:schemeClr w14:val="tx1"/>
            </w14:solidFill>
          </w14:textFill>
        </w:rPr>
        <w:t>经营主体</w:t>
      </w:r>
      <w:r>
        <w:rPr>
          <w:rFonts w:hint="eastAsia" w:ascii="仿宋_GB2312" w:hAnsi="仿宋_GB2312" w:eastAsia="仿宋_GB2312" w:cs="仿宋_GB2312"/>
          <w:b w:val="0"/>
          <w:bCs w:val="0"/>
          <w:color w:val="000000" w:themeColor="text1"/>
          <w:spacing w:val="-5"/>
          <w:kern w:val="0"/>
          <w:sz w:val="32"/>
          <w:szCs w:val="32"/>
          <w:highlight w:val="none"/>
          <w14:textFill>
            <w14:solidFill>
              <w14:schemeClr w14:val="tx1"/>
            </w14:solidFill>
          </w14:textFill>
        </w:rPr>
        <w:t>对我省营商环境的感受。开展</w:t>
      </w:r>
      <w:r>
        <w:rPr>
          <w:rFonts w:hint="eastAsia" w:ascii="仿宋_GB2312" w:hAnsi="仿宋_GB2312" w:eastAsia="仿宋_GB2312" w:cs="仿宋_GB2312"/>
          <w:b w:val="0"/>
          <w:bCs w:val="0"/>
          <w:color w:val="000000" w:themeColor="text1"/>
          <w:spacing w:val="-5"/>
          <w:kern w:val="0"/>
          <w:sz w:val="32"/>
          <w:szCs w:val="32"/>
          <w:highlight w:val="none"/>
          <w:lang w:eastAsia="zh-CN"/>
          <w14:textFill>
            <w14:solidFill>
              <w14:schemeClr w14:val="tx1"/>
            </w14:solidFill>
          </w14:textFill>
        </w:rPr>
        <w:t>日常</w:t>
      </w:r>
      <w:r>
        <w:rPr>
          <w:rFonts w:hint="eastAsia" w:ascii="仿宋_GB2312" w:hAnsi="仿宋_GB2312" w:eastAsia="仿宋_GB2312" w:cs="仿宋_GB2312"/>
          <w:b w:val="0"/>
          <w:bCs w:val="0"/>
          <w:color w:val="000000" w:themeColor="text1"/>
          <w:spacing w:val="-5"/>
          <w:kern w:val="0"/>
          <w:sz w:val="32"/>
          <w:szCs w:val="32"/>
          <w:highlight w:val="none"/>
          <w14:textFill>
            <w14:solidFill>
              <w14:schemeClr w14:val="tx1"/>
            </w14:solidFill>
          </w14:textFill>
        </w:rPr>
        <w:t>调查工作，充分运用日常业务办件满意度调查情况</w:t>
      </w:r>
      <w:r>
        <w:rPr>
          <w:rFonts w:hint="eastAsia" w:ascii="仿宋_GB2312" w:hAnsi="仿宋_GB2312" w:eastAsia="仿宋_GB2312" w:cs="仿宋_GB2312"/>
          <w:b w:val="0"/>
          <w:bCs w:val="0"/>
          <w:color w:val="000000" w:themeColor="text1"/>
          <w:spacing w:val="-5"/>
          <w:kern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5"/>
          <w:kern w:val="0"/>
          <w:sz w:val="32"/>
          <w:szCs w:val="32"/>
          <w:highlight w:val="none"/>
          <w:lang w:val="en-US" w:eastAsia="zh-CN"/>
          <w14:textFill>
            <w14:solidFill>
              <w14:schemeClr w14:val="tx1"/>
            </w14:solidFill>
          </w14:textFill>
        </w:rPr>
        <w:t>政务好差评</w:t>
      </w:r>
      <w:r>
        <w:rPr>
          <w:rFonts w:hint="eastAsia" w:ascii="仿宋_GB2312" w:hAnsi="仿宋_GB2312" w:eastAsia="仿宋_GB2312" w:cs="仿宋_GB2312"/>
          <w:b w:val="0"/>
          <w:bCs w:val="0"/>
          <w:color w:val="000000" w:themeColor="text1"/>
          <w:spacing w:val="-5"/>
          <w:kern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5"/>
          <w:kern w:val="0"/>
          <w:sz w:val="32"/>
          <w:szCs w:val="32"/>
          <w:highlight w:val="none"/>
          <w14:textFill>
            <w14:solidFill>
              <w14:schemeClr w14:val="tx1"/>
            </w14:solidFill>
          </w14:textFill>
        </w:rPr>
        <w:t>，及时了解</w:t>
      </w:r>
      <w:r>
        <w:rPr>
          <w:rFonts w:hint="eastAsia" w:ascii="仿宋_GB2312" w:hAnsi="仿宋_GB2312" w:eastAsia="仿宋_GB2312" w:cs="仿宋_GB2312"/>
          <w:b w:val="0"/>
          <w:bCs w:val="0"/>
          <w:strike w:val="0"/>
          <w:dstrike w:val="0"/>
          <w:color w:val="000000" w:themeColor="text1"/>
          <w:spacing w:val="-5"/>
          <w:kern w:val="0"/>
          <w:sz w:val="32"/>
          <w:szCs w:val="32"/>
          <w:highlight w:val="none"/>
          <w:lang w:val="en-US" w:eastAsia="zh-CN"/>
          <w14:textFill>
            <w14:solidFill>
              <w14:schemeClr w14:val="tx1"/>
            </w14:solidFill>
          </w14:textFill>
        </w:rPr>
        <w:t>经营</w:t>
      </w:r>
      <w:r>
        <w:rPr>
          <w:rFonts w:hint="eastAsia" w:ascii="仿宋_GB2312" w:hAnsi="仿宋_GB2312" w:eastAsia="仿宋_GB2312" w:cs="仿宋_GB2312"/>
          <w:b w:val="0"/>
          <w:bCs w:val="0"/>
          <w:color w:val="000000" w:themeColor="text1"/>
          <w:spacing w:val="-5"/>
          <w:kern w:val="0"/>
          <w:sz w:val="32"/>
          <w:szCs w:val="32"/>
          <w:highlight w:val="none"/>
          <w14:textFill>
            <w14:solidFill>
              <w14:schemeClr w14:val="tx1"/>
            </w14:solidFill>
          </w14:textFill>
        </w:rPr>
        <w:t>主体对营商环境的直观感受</w:t>
      </w:r>
      <w:r>
        <w:rPr>
          <w:rFonts w:hint="eastAsia" w:ascii="仿宋_GB2312" w:hAnsi="仿宋_GB2312" w:eastAsia="仿宋_GB2312" w:cs="仿宋_GB2312"/>
          <w:b w:val="0"/>
          <w:bCs w:val="0"/>
          <w:color w:val="000000" w:themeColor="text1"/>
          <w:spacing w:val="-5"/>
          <w:kern w:val="0"/>
          <w:sz w:val="32"/>
          <w:szCs w:val="32"/>
          <w:highlight w:val="none"/>
          <w:lang w:val="en-US" w:eastAsia="zh-CN"/>
          <w14:textFill>
            <w14:solidFill>
              <w14:schemeClr w14:val="tx1"/>
            </w14:solidFill>
          </w14:textFill>
        </w:rPr>
        <w:t>；同时设置网络舆情监测扣分机制，根据负面网络舆情事件、舆情应对与处置两个方面予以扣分</w:t>
      </w:r>
      <w:r>
        <w:rPr>
          <w:rFonts w:hint="eastAsia" w:ascii="仿宋_GB2312" w:hAnsi="仿宋_GB2312" w:eastAsia="仿宋_GB2312" w:cs="仿宋_GB2312"/>
          <w:b w:val="0"/>
          <w:bCs w:val="0"/>
          <w:color w:val="000000" w:themeColor="text1"/>
          <w:spacing w:val="-5"/>
          <w:kern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5"/>
          <w:kern w:val="0"/>
          <w:sz w:val="32"/>
          <w:szCs w:val="32"/>
          <w:highlight w:val="none"/>
          <w:lang w:val="en-US" w:eastAsia="zh-CN"/>
          <w14:textFill>
            <w14:solidFill>
              <w14:schemeClr w14:val="tx1"/>
            </w14:solidFill>
          </w14:textFill>
        </w:rPr>
        <w:t>开展年度标准问卷调查工作，根据不同指标的特性，把握经营主体真实需求，量身定制专属调查问卷，面向企业和个体工商户等多元群体精准发放，深度聚焦各指标经营主体的满意度状况。在满意度调查过程中，发现干扰经营主体真实评价的，予以扣分。</w:t>
      </w:r>
    </w:p>
    <w:p>
      <w:pPr>
        <w:keepNext w:val="0"/>
        <w:keepLines w:val="0"/>
        <w:pageBreakBefore w:val="0"/>
        <w:widowControl w:val="0"/>
        <w:pBdr>
          <w:bottom w:val="single" w:color="FFFFFF" w:sz="4" w:space="29"/>
        </w:pBdr>
        <w:tabs>
          <w:tab w:val="left" w:pos="1440"/>
        </w:tabs>
        <w:kinsoku/>
        <w:wordWrap/>
        <w:overflowPunct/>
        <w:topLinePunct w:val="0"/>
        <w:autoSpaceDE/>
        <w:autoSpaceDN/>
        <w:bidi w:val="0"/>
        <w:adjustRightInd w:val="0"/>
        <w:snapToGrid/>
        <w:spacing w:line="600" w:lineRule="exact"/>
        <w:ind w:firstLine="620" w:firstLineChars="200"/>
        <w:textAlignment w:val="auto"/>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pPr>
      <w:r>
        <w:rPr>
          <w:rFonts w:hint="eastAsia" w:ascii="华文楷体" w:hAnsi="华文楷体" w:eastAsia="华文楷体" w:cs="方正楷体_GBK"/>
          <w:b/>
          <w:bCs/>
          <w:color w:val="000000" w:themeColor="text1"/>
          <w:spacing w:val="-5"/>
          <w:kern w:val="0"/>
          <w:sz w:val="32"/>
          <w:szCs w:val="32"/>
          <w:highlight w:val="none"/>
          <w14:textFill>
            <w14:solidFill>
              <w14:schemeClr w14:val="tx1"/>
            </w14:solidFill>
          </w14:textFill>
        </w:rPr>
        <w:t>（三）</w:t>
      </w:r>
      <w:r>
        <w:rPr>
          <w:rFonts w:hint="eastAsia" w:ascii="华文楷体" w:hAnsi="华文楷体" w:eastAsia="华文楷体" w:cs="方正楷体_GBK"/>
          <w:b/>
          <w:bCs/>
          <w:color w:val="000000" w:themeColor="text1"/>
          <w:spacing w:val="-5"/>
          <w:kern w:val="0"/>
          <w:sz w:val="32"/>
          <w:szCs w:val="32"/>
          <w:highlight w:val="none"/>
          <w:lang w:val="en-US" w:eastAsia="zh-CN"/>
          <w14:textFill>
            <w14:solidFill>
              <w14:schemeClr w14:val="tx1"/>
            </w14:solidFill>
          </w14:textFill>
        </w:rPr>
        <w:t>创新举措</w:t>
      </w:r>
      <w:r>
        <w:rPr>
          <w:rFonts w:hint="eastAsia" w:ascii="华文楷体" w:hAnsi="华文楷体" w:eastAsia="华文楷体" w:cs="方正楷体_GBK"/>
          <w:b/>
          <w:bCs/>
          <w:color w:val="000000" w:themeColor="text1"/>
          <w:spacing w:val="-5"/>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鼓励各地</w:t>
      </w:r>
      <w:r>
        <w:rPr>
          <w:rFonts w:hint="eastAsia" w:ascii="仿宋_GB2312" w:hAnsi="仿宋_GB2312" w:eastAsia="仿宋_GB2312" w:cs="仿宋_GB2312"/>
          <w:color w:val="000000" w:themeColor="text1"/>
          <w:spacing w:val="-5"/>
          <w:kern w:val="0"/>
          <w:sz w:val="32"/>
          <w:szCs w:val="32"/>
          <w:highlight w:val="none"/>
          <w:lang w:val="en-US"/>
          <w14:textFill>
            <w14:solidFill>
              <w14:schemeClr w14:val="tx1"/>
            </w14:solidFill>
          </w14:textFill>
        </w:rPr>
        <w:t>结合</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实际，改革创新，定期总结梳理各级各部门优化营商环境的创新做法和先进经验，对获得国家和省级认可的地方创新举措予以加分</w:t>
      </w:r>
      <w:r>
        <w:rPr>
          <w:rFonts w:hint="eastAsia" w:ascii="仿宋_GB2312" w:hAnsi="仿宋_GB2312" w:eastAsia="仿宋_GB2312" w:cs="仿宋_GB2312"/>
          <w:color w:val="000000" w:themeColor="text1"/>
          <w:spacing w:val="-5"/>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5"/>
          <w:kern w:val="0"/>
          <w:sz w:val="32"/>
          <w:szCs w:val="32"/>
          <w:highlight w:val="none"/>
          <w:lang w:val="en-US" w:eastAsia="zh-CN"/>
          <w14:textFill>
            <w14:solidFill>
              <w14:schemeClr w14:val="tx1"/>
            </w14:solidFill>
          </w14:textFill>
        </w:rPr>
        <w:t>鼓励互学互鉴，充分发挥示范引领效应</w:t>
      </w:r>
      <w:r>
        <w:rPr>
          <w:rFonts w:hint="eastAsia" w:ascii="仿宋_GB2312" w:hAnsi="仿宋_GB2312" w:eastAsia="仿宋_GB2312" w:cs="仿宋_GB2312"/>
          <w:color w:val="000000" w:themeColor="text1"/>
          <w:spacing w:val="-5"/>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100" w:lineRule="exact"/>
        <w:textAlignment w:val="auto"/>
        <w:rPr>
          <w:highlight w:val="none"/>
        </w:rPr>
      </w:pPr>
      <w:r>
        <w:drawing>
          <wp:anchor distT="0" distB="0" distL="114300" distR="114300" simplePos="0" relativeHeight="251659264" behindDoc="0" locked="0" layoutInCell="1" allowOverlap="0">
            <wp:simplePos x="0" y="0"/>
            <wp:positionH relativeFrom="page">
              <wp:posOffset>1103630</wp:posOffset>
            </wp:positionH>
            <wp:positionV relativeFrom="page">
              <wp:posOffset>1012190</wp:posOffset>
            </wp:positionV>
            <wp:extent cx="5478145" cy="2801620"/>
            <wp:effectExtent l="0" t="0" r="8255" b="1778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478145" cy="2801620"/>
                    </a:xfrm>
                    <a:prstGeom prst="rect">
                      <a:avLst/>
                    </a:prstGeom>
                    <a:noFill/>
                    <a:ln>
                      <a:noFill/>
                    </a:ln>
                  </pic:spPr>
                </pic:pic>
              </a:graphicData>
            </a:graphic>
          </wp:anchor>
        </w:drawing>
      </w:r>
    </w:p>
    <w:p>
      <w:pPr>
        <w:keepNext w:val="0"/>
        <w:keepLines w:val="0"/>
        <w:pageBreakBefore w:val="0"/>
        <w:widowControl w:val="0"/>
        <w:pBdr>
          <w:bottom w:val="single" w:color="FFFFFF" w:sz="4" w:space="29"/>
        </w:pBdr>
        <w:tabs>
          <w:tab w:val="left" w:pos="1440"/>
        </w:tabs>
        <w:kinsoku/>
        <w:wordWrap/>
        <w:overflowPunct/>
        <w:topLinePunct w:val="0"/>
        <w:autoSpaceDE/>
        <w:autoSpaceDN/>
        <w:bidi w:val="0"/>
        <w:adjustRightInd w:val="0"/>
        <w:snapToGrid/>
        <w:spacing w:line="600" w:lineRule="exact"/>
        <w:ind w:firstLine="640" w:firstLineChars="200"/>
        <w:textAlignment w:val="auto"/>
        <w:outlineLvl w:val="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三、实施原则</w:t>
      </w:r>
    </w:p>
    <w:p>
      <w:pPr>
        <w:keepNext w:val="0"/>
        <w:keepLines w:val="0"/>
        <w:pageBreakBefore w:val="0"/>
        <w:widowControl w:val="0"/>
        <w:pBdr>
          <w:bottom w:val="single" w:color="FFFFFF" w:sz="4" w:space="29"/>
        </w:pBdr>
        <w:tabs>
          <w:tab w:val="left" w:pos="1050"/>
        </w:tabs>
        <w:kinsoku/>
        <w:wordWrap/>
        <w:overflowPunct/>
        <w:topLinePunct w:val="0"/>
        <w:autoSpaceDE/>
        <w:autoSpaceDN/>
        <w:bidi w:val="0"/>
        <w:adjustRightInd w:val="0"/>
        <w:snapToGrid/>
        <w:spacing w:line="600" w:lineRule="exact"/>
        <w:ind w:firstLine="620" w:firstLineChars="200"/>
        <w:textAlignment w:val="auto"/>
        <w:rPr>
          <w:rFonts w:ascii="仿宋" w:hAnsi="仿宋" w:eastAsia="仿宋" w:cs="仿宋_GB2312"/>
          <w:color w:val="000000" w:themeColor="text1"/>
          <w:spacing w:val="-5"/>
          <w:kern w:val="0"/>
          <w:sz w:val="32"/>
          <w:szCs w:val="32"/>
          <w:highlight w:val="none"/>
          <w14:textFill>
            <w14:solidFill>
              <w14:schemeClr w14:val="tx1"/>
            </w14:solidFill>
          </w14:textFill>
        </w:rPr>
      </w:pPr>
      <w:r>
        <w:rPr>
          <w:rFonts w:hint="eastAsia" w:ascii="华文楷体" w:hAnsi="华文楷体" w:eastAsia="华文楷体" w:cs="方正楷体_GBK"/>
          <w:b/>
          <w:bCs/>
          <w:color w:val="000000"/>
          <w:spacing w:val="-5"/>
          <w:kern w:val="0"/>
          <w:sz w:val="32"/>
          <w:szCs w:val="32"/>
          <w:highlight w:val="none"/>
        </w:rPr>
        <w:t>（一）专业运作，注重实效。</w:t>
      </w:r>
      <w:r>
        <w:rPr>
          <w:rFonts w:hint="eastAsia" w:ascii="仿宋_GB2312" w:hAnsi="仿宋_GB2312" w:eastAsia="仿宋_GB2312" w:cs="仿宋_GB2312"/>
          <w:color w:val="000000"/>
          <w:spacing w:val="-5"/>
          <w:kern w:val="0"/>
          <w:sz w:val="32"/>
          <w:szCs w:val="32"/>
          <w:highlight w:val="none"/>
        </w:rPr>
        <w:t>委托第三方</w:t>
      </w:r>
      <w:r>
        <w:rPr>
          <w:rFonts w:hint="eastAsia" w:ascii="仿宋_GB2312" w:hAnsi="仿宋_GB2312" w:eastAsia="仿宋_GB2312" w:cs="仿宋_GB2312"/>
          <w:color w:val="000000"/>
          <w:spacing w:val="-5"/>
          <w:kern w:val="0"/>
          <w:sz w:val="32"/>
          <w:szCs w:val="32"/>
          <w:highlight w:val="none"/>
          <w:lang w:eastAsia="zh-CN"/>
        </w:rPr>
        <w:t>开展</w:t>
      </w:r>
      <w:r>
        <w:rPr>
          <w:rFonts w:hint="eastAsia" w:ascii="仿宋_GB2312" w:hAnsi="仿宋_GB2312" w:eastAsia="仿宋_GB2312" w:cs="仿宋_GB2312"/>
          <w:color w:val="000000"/>
          <w:spacing w:val="-5"/>
          <w:kern w:val="0"/>
          <w:sz w:val="32"/>
          <w:szCs w:val="32"/>
          <w:highlight w:val="none"/>
        </w:rPr>
        <w:t>营商环境数字化监测</w:t>
      </w:r>
      <w:r>
        <w:rPr>
          <w:rFonts w:hint="eastAsia" w:ascii="仿宋_GB2312" w:hAnsi="仿宋_GB2312" w:eastAsia="仿宋_GB2312" w:cs="仿宋_GB2312"/>
          <w:color w:val="000000"/>
          <w:spacing w:val="-5"/>
          <w:kern w:val="0"/>
          <w:sz w:val="32"/>
          <w:szCs w:val="32"/>
          <w:highlight w:val="none"/>
          <w:lang w:eastAsia="zh-CN"/>
        </w:rPr>
        <w:t>服务</w:t>
      </w:r>
      <w:r>
        <w:rPr>
          <w:rFonts w:hint="eastAsia" w:ascii="仿宋_GB2312" w:hAnsi="仿宋_GB2312" w:eastAsia="仿宋_GB2312" w:cs="仿宋_GB2312"/>
          <w:color w:val="000000"/>
          <w:spacing w:val="-5"/>
          <w:kern w:val="0"/>
          <w:sz w:val="32"/>
          <w:szCs w:val="32"/>
          <w:highlight w:val="none"/>
        </w:rPr>
        <w:t>，在</w:t>
      </w:r>
      <w:r>
        <w:rPr>
          <w:rFonts w:hint="eastAsia" w:ascii="仿宋_GB2312" w:hAnsi="仿宋_GB2312" w:eastAsia="仿宋_GB2312" w:cs="仿宋_GB2312"/>
          <w:color w:val="000000"/>
          <w:spacing w:val="-5"/>
          <w:kern w:val="0"/>
          <w:sz w:val="32"/>
          <w:szCs w:val="32"/>
          <w:highlight w:val="none"/>
          <w:lang w:eastAsia="zh-CN"/>
        </w:rPr>
        <w:t>数据收集</w:t>
      </w:r>
      <w:r>
        <w:rPr>
          <w:rFonts w:hint="eastAsia" w:ascii="仿宋_GB2312" w:hAnsi="仿宋_GB2312" w:eastAsia="仿宋_GB2312" w:cs="仿宋_GB2312"/>
          <w:color w:val="000000"/>
          <w:spacing w:val="-5"/>
          <w:kern w:val="0"/>
          <w:sz w:val="32"/>
          <w:szCs w:val="32"/>
          <w:highlight w:val="none"/>
        </w:rPr>
        <w:t>、</w:t>
      </w:r>
      <w:r>
        <w:rPr>
          <w:rFonts w:hint="eastAsia" w:ascii="仿宋_GB2312" w:hAnsi="仿宋_GB2312" w:eastAsia="仿宋_GB2312" w:cs="仿宋_GB2312"/>
          <w:color w:val="000000"/>
          <w:spacing w:val="-5"/>
          <w:kern w:val="0"/>
          <w:sz w:val="32"/>
          <w:szCs w:val="32"/>
          <w:highlight w:val="none"/>
          <w:lang w:eastAsia="zh-CN"/>
        </w:rPr>
        <w:t>汇总分析、</w:t>
      </w:r>
      <w:r>
        <w:rPr>
          <w:rFonts w:hint="eastAsia" w:ascii="仿宋_GB2312" w:hAnsi="仿宋_GB2312" w:eastAsia="仿宋_GB2312" w:cs="仿宋_GB2312"/>
          <w:color w:val="000000"/>
          <w:spacing w:val="-5"/>
          <w:kern w:val="0"/>
          <w:sz w:val="32"/>
          <w:szCs w:val="32"/>
          <w:highlight w:val="none"/>
        </w:rPr>
        <w:t>技术支撑、运维服务、</w:t>
      </w:r>
      <w:r>
        <w:rPr>
          <w:rFonts w:hint="eastAsia" w:ascii="仿宋_GB2312" w:hAnsi="仿宋_GB2312" w:eastAsia="仿宋_GB2312" w:cs="仿宋_GB2312"/>
          <w:color w:val="000000"/>
          <w:spacing w:val="-5"/>
          <w:kern w:val="0"/>
          <w:sz w:val="32"/>
          <w:szCs w:val="32"/>
          <w:highlight w:val="none"/>
          <w:lang w:val="en-US" w:eastAsia="zh-CN"/>
        </w:rPr>
        <w:t>经营</w:t>
      </w:r>
      <w:r>
        <w:rPr>
          <w:rFonts w:hint="eastAsia" w:ascii="仿宋_GB2312" w:hAnsi="仿宋_GB2312" w:eastAsia="仿宋_GB2312" w:cs="仿宋_GB2312"/>
          <w:color w:val="000000" w:themeColor="text1"/>
          <w:spacing w:val="-5"/>
          <w:kern w:val="0"/>
          <w:sz w:val="32"/>
          <w:szCs w:val="32"/>
          <w:highlight w:val="none"/>
          <w:lang w:val="en-US" w:eastAsia="zh-CN"/>
          <w14:textFill>
            <w14:solidFill>
              <w14:schemeClr w14:val="tx1"/>
            </w14:solidFill>
          </w14:textFill>
        </w:rPr>
        <w:t>主体满意度</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调查等方面提供专业保障，确保监测督导工作顺利开展。</w:t>
      </w:r>
      <w:r>
        <w:rPr>
          <w:rFonts w:hint="eastAsia" w:ascii="仿宋_GB2312" w:hAnsi="仿宋_GB2312" w:eastAsia="仿宋_GB2312" w:cs="仿宋_GB2312"/>
          <w:color w:val="000000" w:themeColor="text1"/>
          <w:spacing w:val="-5"/>
          <w:kern w:val="0"/>
          <w:sz w:val="32"/>
          <w:szCs w:val="32"/>
          <w:highlight w:val="none"/>
          <w:lang w:val="en-US" w:eastAsia="zh-CN"/>
          <w14:textFill>
            <w14:solidFill>
              <w14:schemeClr w14:val="tx1"/>
            </w14:solidFill>
          </w14:textFill>
        </w:rPr>
        <w:t>坚持目标导向、问题导向</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，聚焦企业关心关切，突出数字化日常监测，及时发现问题，督导解决问题。</w:t>
      </w:r>
    </w:p>
    <w:p>
      <w:pPr>
        <w:keepNext w:val="0"/>
        <w:keepLines w:val="0"/>
        <w:pageBreakBefore w:val="0"/>
        <w:widowControl w:val="0"/>
        <w:pBdr>
          <w:bottom w:val="single" w:color="FFFFFF" w:sz="4" w:space="29"/>
        </w:pBdr>
        <w:tabs>
          <w:tab w:val="left" w:pos="1050"/>
          <w:tab w:val="left" w:pos="7350"/>
        </w:tabs>
        <w:kinsoku/>
        <w:wordWrap/>
        <w:overflowPunct/>
        <w:topLinePunct w:val="0"/>
        <w:autoSpaceDE/>
        <w:autoSpaceDN/>
        <w:bidi w:val="0"/>
        <w:adjustRightInd w:val="0"/>
        <w:snapToGrid/>
        <w:spacing w:line="600" w:lineRule="exact"/>
        <w:ind w:firstLine="620" w:firstLineChars="200"/>
        <w:textAlignment w:val="auto"/>
        <w:rPr>
          <w:rFonts w:ascii="仿宋" w:hAnsi="仿宋" w:eastAsia="仿宋" w:cs="仿宋_GB2312"/>
          <w:color w:val="000000" w:themeColor="text1"/>
          <w:spacing w:val="-5"/>
          <w:kern w:val="0"/>
          <w:sz w:val="32"/>
          <w:szCs w:val="32"/>
          <w:highlight w:val="none"/>
          <w14:textFill>
            <w14:solidFill>
              <w14:schemeClr w14:val="tx1"/>
            </w14:solidFill>
          </w14:textFill>
        </w:rPr>
      </w:pPr>
      <w:r>
        <w:rPr>
          <w:rFonts w:hint="eastAsia" w:ascii="华文楷体" w:hAnsi="华文楷体" w:eastAsia="华文楷体" w:cs="方正楷体_GBK"/>
          <w:b/>
          <w:bCs/>
          <w:color w:val="000000" w:themeColor="text1"/>
          <w:spacing w:val="-5"/>
          <w:kern w:val="0"/>
          <w:sz w:val="32"/>
          <w:szCs w:val="32"/>
          <w:highlight w:val="none"/>
          <w14:textFill>
            <w14:solidFill>
              <w14:schemeClr w14:val="tx1"/>
            </w14:solidFill>
          </w14:textFill>
        </w:rPr>
        <w:t>（二）部门协同，上下联动。</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在国家发展改革委指导下，开展营商环境监测督导工作。省有关部门加强协同，参与指标体系设计</w:t>
      </w:r>
      <w:r>
        <w:rPr>
          <w:rFonts w:hint="eastAsia" w:ascii="仿宋_GB2312" w:hAnsi="仿宋_GB2312" w:eastAsia="仿宋_GB2312" w:cs="仿宋_GB2312"/>
          <w:color w:val="000000" w:themeColor="text1"/>
          <w:spacing w:val="-5"/>
          <w:kern w:val="0"/>
          <w:sz w:val="32"/>
          <w:szCs w:val="32"/>
          <w:highlight w:val="none"/>
          <w:lang w:eastAsia="zh-CN"/>
          <w14:textFill>
            <w14:solidFill>
              <w14:schemeClr w14:val="tx1"/>
            </w14:solidFill>
          </w14:textFill>
        </w:rPr>
        <w:t>和</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动态监测，加强垂直指导，及时督导各地整改提升。各地市充分运用监测督导机制，加强横向纵向对比分析，积极对标先进，查找不足，补短板强弱项，</w:t>
      </w:r>
      <w:r>
        <w:rPr>
          <w:rFonts w:hint="eastAsia" w:ascii="仿宋_GB2312" w:hAnsi="仿宋_GB2312" w:eastAsia="仿宋_GB2312" w:cs="仿宋_GB2312"/>
          <w:color w:val="000000" w:themeColor="text1"/>
          <w:spacing w:val="-5"/>
          <w:kern w:val="0"/>
          <w:sz w:val="32"/>
          <w:szCs w:val="32"/>
          <w:highlight w:val="none"/>
          <w:lang w:eastAsia="zh-CN"/>
          <w14:textFill>
            <w14:solidFill>
              <w14:schemeClr w14:val="tx1"/>
            </w14:solidFill>
          </w14:textFill>
        </w:rPr>
        <w:t>持续优化</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营商环境。</w:t>
      </w:r>
    </w:p>
    <w:p>
      <w:pPr>
        <w:keepNext w:val="0"/>
        <w:keepLines w:val="0"/>
        <w:pageBreakBefore w:val="0"/>
        <w:widowControl w:val="0"/>
        <w:pBdr>
          <w:bottom w:val="single" w:color="FFFFFF" w:sz="4" w:space="29"/>
        </w:pBdr>
        <w:tabs>
          <w:tab w:val="left" w:pos="1050"/>
          <w:tab w:val="left" w:pos="7350"/>
        </w:tabs>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华文楷体" w:hAnsi="华文楷体" w:eastAsia="华文楷体" w:cs="仿宋_GB2312"/>
          <w:b/>
          <w:bCs/>
          <w:color w:val="000000" w:themeColor="text1"/>
          <w:sz w:val="32"/>
          <w:szCs w:val="32"/>
          <w:highlight w:val="none"/>
          <w14:textFill>
            <w14:solidFill>
              <w14:schemeClr w14:val="tx1"/>
            </w14:solidFill>
          </w14:textFill>
        </w:rPr>
        <w:t>（</w:t>
      </w:r>
      <w:r>
        <w:rPr>
          <w:rFonts w:hint="eastAsia" w:ascii="华文楷体" w:hAnsi="华文楷体" w:eastAsia="华文楷体" w:cs="仿宋_GB2312"/>
          <w:b/>
          <w:bCs/>
          <w:color w:val="000000" w:themeColor="text1"/>
          <w:sz w:val="32"/>
          <w:szCs w:val="32"/>
          <w:highlight w:val="none"/>
          <w:lang w:val="en-US" w:eastAsia="zh-CN"/>
          <w14:textFill>
            <w14:solidFill>
              <w14:schemeClr w14:val="tx1"/>
            </w14:solidFill>
          </w14:textFill>
        </w:rPr>
        <w:t>三</w:t>
      </w:r>
      <w:r>
        <w:rPr>
          <w:rFonts w:hint="eastAsia" w:ascii="华文楷体" w:hAnsi="华文楷体" w:eastAsia="华文楷体" w:cs="仿宋_GB2312"/>
          <w:b/>
          <w:bCs/>
          <w:color w:val="000000" w:themeColor="text1"/>
          <w:sz w:val="32"/>
          <w:szCs w:val="32"/>
          <w:highlight w:val="none"/>
          <w14:textFill>
            <w14:solidFill>
              <w14:schemeClr w14:val="tx1"/>
            </w14:solidFill>
          </w14:textFill>
        </w:rPr>
        <w:t>）重点帮扶，精准提升。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组织开展全省营商环境优化提升工作，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根据年度监测情况，针对营商环境薄弱地区、薄弱指标，开展“点对点”指导，协调解决堵点难点问题，实现全省营商环境共同优化提升。</w:t>
      </w:r>
    </w:p>
    <w:p>
      <w:pPr>
        <w:keepNext w:val="0"/>
        <w:keepLines w:val="0"/>
        <w:pageBreakBefore w:val="0"/>
        <w:widowControl w:val="0"/>
        <w:pBdr>
          <w:bottom w:val="single" w:color="FFFFFF" w:sz="4" w:space="29"/>
        </w:pBdr>
        <w:tabs>
          <w:tab w:val="left" w:pos="1440"/>
        </w:tabs>
        <w:kinsoku/>
        <w:wordWrap/>
        <w:overflowPunct/>
        <w:topLinePunct w:val="0"/>
        <w:autoSpaceDE/>
        <w:autoSpaceDN/>
        <w:bidi w:val="0"/>
        <w:adjustRightInd w:val="0"/>
        <w:snapToGrid/>
        <w:spacing w:line="600" w:lineRule="exact"/>
        <w:ind w:firstLine="640" w:firstLineChars="200"/>
        <w:textAlignment w:val="auto"/>
        <w:outlineLvl w:val="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四、职责分工</w:t>
      </w:r>
    </w:p>
    <w:p>
      <w:pPr>
        <w:keepNext w:val="0"/>
        <w:keepLines w:val="0"/>
        <w:pageBreakBefore w:val="0"/>
        <w:widowControl w:val="0"/>
        <w:pBdr>
          <w:bottom w:val="single" w:color="FFFFFF" w:sz="4" w:space="29"/>
        </w:pBdr>
        <w:kinsoku/>
        <w:wordWrap/>
        <w:overflowPunct/>
        <w:topLinePunct w:val="0"/>
        <w:autoSpaceDE/>
        <w:autoSpaceDN/>
        <w:bidi w:val="0"/>
        <w:adjustRightInd w:val="0"/>
        <w:snapToGrid/>
        <w:spacing w:line="600" w:lineRule="exact"/>
        <w:ind w:firstLine="64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华文楷体" w:hAnsi="华文楷体" w:eastAsia="华文楷体" w:cs="方正楷体_GBK"/>
          <w:b/>
          <w:bCs/>
          <w:color w:val="000000" w:themeColor="text1"/>
          <w:spacing w:val="-5"/>
          <w:kern w:val="0"/>
          <w:sz w:val="32"/>
          <w:szCs w:val="32"/>
          <w:highlight w:val="none"/>
          <w14:textFill>
            <w14:solidFill>
              <w14:schemeClr w14:val="tx1"/>
            </w14:solidFill>
          </w14:textFill>
        </w:rPr>
        <w:t>（一）省</w:t>
      </w:r>
      <w:r>
        <w:rPr>
          <w:rFonts w:hint="eastAsia" w:ascii="华文楷体" w:hAnsi="华文楷体" w:eastAsia="华文楷体" w:cs="方正楷体_GBK"/>
          <w:b/>
          <w:bCs/>
          <w:color w:val="000000" w:themeColor="text1"/>
          <w:spacing w:val="-5"/>
          <w:kern w:val="0"/>
          <w:sz w:val="32"/>
          <w:szCs w:val="32"/>
          <w:highlight w:val="none"/>
          <w:lang w:val="en-US" w:eastAsia="zh-CN"/>
          <w14:textFill>
            <w14:solidFill>
              <w14:schemeClr w14:val="tx1"/>
            </w14:solidFill>
          </w14:textFill>
        </w:rPr>
        <w:t>发改委</w:t>
      </w:r>
      <w:r>
        <w:rPr>
          <w:rFonts w:hint="eastAsia" w:ascii="华文楷体" w:hAnsi="华文楷体" w:eastAsia="华文楷体" w:cs="方正楷体_GBK"/>
          <w:b/>
          <w:bCs/>
          <w:color w:val="000000" w:themeColor="text1"/>
          <w:spacing w:val="-5"/>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统筹营商环境数字化监测督导各项工作，</w:t>
      </w:r>
      <w:r>
        <w:rPr>
          <w:rFonts w:hint="eastAsia" w:ascii="仿宋_GB2312" w:hAnsi="仿宋_GB2312" w:eastAsia="仿宋_GB2312" w:cs="仿宋_GB2312"/>
          <w:strike w:val="0"/>
          <w:dstrike w:val="0"/>
          <w:color w:val="000000" w:themeColor="text1"/>
          <w:sz w:val="32"/>
          <w:szCs w:val="32"/>
          <w:highlight w:val="none"/>
          <w:lang w:val="en-US" w:eastAsia="zh-CN"/>
          <w14:textFill>
            <w14:solidFill>
              <w14:schemeClr w14:val="tx1"/>
            </w14:solidFill>
          </w14:textFill>
        </w:rPr>
        <w:t>健全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完善监测督导机制，持续优化</w:t>
      </w:r>
      <w:r>
        <w:rPr>
          <w:rFonts w:hint="eastAsia" w:ascii="仿宋_GB2312" w:hAnsi="仿宋_GB2312" w:eastAsia="仿宋_GB2312" w:cs="仿宋_GB2312"/>
          <w:color w:val="000000" w:themeColor="text1"/>
          <w:sz w:val="32"/>
          <w:szCs w:val="32"/>
          <w:highlight w:val="none"/>
          <w14:textFill>
            <w14:solidFill>
              <w14:schemeClr w14:val="tx1"/>
            </w14:solidFill>
          </w14:textFill>
        </w:rPr>
        <w:t>具有福建特色的营商环境数字化监测督导指标体系</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w:t>
      </w:r>
      <w:r>
        <w:rPr>
          <w:rFonts w:hint="eastAsia" w:ascii="仿宋_GB2312" w:hAnsi="仿宋_GB2312" w:eastAsia="仿宋_GB2312" w:cs="仿宋_GB2312"/>
          <w:strike w:val="0"/>
          <w:dstrike w:val="0"/>
          <w:color w:val="000000" w:themeColor="text1"/>
          <w:sz w:val="32"/>
          <w:szCs w:val="32"/>
          <w:highlight w:val="none"/>
          <w:lang w:val="en-US" w:eastAsia="zh-CN"/>
          <w14:textFill>
            <w14:solidFill>
              <w14:schemeClr w14:val="tx1"/>
            </w14:solidFill>
          </w14:textFill>
        </w:rPr>
        <w:t>经营主体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满意度调查，组织现场核验督导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根据监测督导情况进行分析，提交营商环境分析报告。定期总结推广各地各部门优化营商环境好经验好做法，加强营商环境改革成果宣传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推广</w:t>
      </w:r>
      <w:r>
        <w:rPr>
          <w:rFonts w:hint="eastAsia" w:ascii="仿宋_GB2312" w:hAnsi="仿宋_GB2312" w:eastAsia="仿宋_GB2312" w:cs="仿宋_GB2312"/>
          <w:color w:val="000000" w:themeColor="text1"/>
          <w:sz w:val="32"/>
          <w:szCs w:val="32"/>
          <w:highlight w:val="none"/>
          <w14:textFill>
            <w14:solidFill>
              <w14:schemeClr w14:val="tx1"/>
            </w14:solidFill>
          </w14:textFill>
        </w:rPr>
        <w:t>。会同省相关部门针对薄弱地市、薄弱指标提供“点对点”指导帮助，推动全省营商环境共同优化提升。</w:t>
      </w:r>
    </w:p>
    <w:p>
      <w:pPr>
        <w:keepNext w:val="0"/>
        <w:keepLines w:val="0"/>
        <w:pageBreakBefore w:val="0"/>
        <w:widowControl w:val="0"/>
        <w:pBdr>
          <w:bottom w:val="single" w:color="FFFFFF" w:sz="4" w:space="29"/>
        </w:pBdr>
        <w:kinsoku/>
        <w:wordWrap/>
        <w:overflowPunct/>
        <w:topLinePunct w:val="0"/>
        <w:autoSpaceDE/>
        <w:autoSpaceDN/>
        <w:bidi w:val="0"/>
        <w:adjustRightInd w:val="0"/>
        <w:snapToGrid/>
        <w:spacing w:line="600" w:lineRule="exact"/>
        <w:ind w:firstLine="64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华文楷体" w:hAnsi="华文楷体" w:eastAsia="华文楷体" w:cs="方正楷体_GBK"/>
          <w:b/>
          <w:bCs/>
          <w:color w:val="000000" w:themeColor="text1"/>
          <w:spacing w:val="-5"/>
          <w:kern w:val="0"/>
          <w:sz w:val="32"/>
          <w:szCs w:val="32"/>
          <w:highlight w:val="none"/>
          <w14:textFill>
            <w14:solidFill>
              <w14:schemeClr w14:val="tx1"/>
            </w14:solidFill>
          </w14:textFill>
        </w:rPr>
        <w:t>（二）省有关部门。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制定本领域</w:t>
      </w:r>
      <w:r>
        <w:rPr>
          <w:rFonts w:hint="eastAsia" w:ascii="仿宋_GB2312" w:hAnsi="仿宋_GB2312" w:eastAsia="仿宋_GB2312" w:cs="仿宋_GB2312"/>
          <w:color w:val="000000" w:themeColor="text1"/>
          <w:sz w:val="32"/>
          <w:szCs w:val="32"/>
          <w:highlight w:val="none"/>
          <w14:textFill>
            <w14:solidFill>
              <w14:schemeClr w14:val="tx1"/>
            </w14:solidFill>
          </w14:textFill>
        </w:rPr>
        <w:t>营商环境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highlight w:val="none"/>
          <w14:textFill>
            <w14:solidFill>
              <w14:schemeClr w14:val="tx1"/>
            </w14:solidFill>
          </w14:textFill>
        </w:rPr>
        <w:t>指标体系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参与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经营主体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满意度调查问卷设计，协助提供调查对象样本框。及时、全面、准确推送监测督导指标对应的数据，以及需要纳入监测的目标任务。加强对全省本领域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任务完成情况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t>的实时监测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14:textFill>
            <w14:solidFill>
              <w14:schemeClr w14:val="tx1"/>
            </w14:solidFill>
          </w14:textFill>
        </w:rPr>
        <w:t>垂直指导，督导各地补短板强弱项，及时反馈问题整改情况，共同推动营商环境各项指标优化提升。</w:t>
      </w:r>
    </w:p>
    <w:p>
      <w:pPr>
        <w:keepNext w:val="0"/>
        <w:keepLines w:val="0"/>
        <w:pageBreakBefore w:val="0"/>
        <w:widowControl w:val="0"/>
        <w:pBdr>
          <w:bottom w:val="single" w:color="FFFFFF" w:sz="4" w:space="29"/>
        </w:pBdr>
        <w:kinsoku/>
        <w:wordWrap/>
        <w:overflowPunct/>
        <w:topLinePunct w:val="0"/>
        <w:autoSpaceDE/>
        <w:autoSpaceDN/>
        <w:bidi w:val="0"/>
        <w:adjustRightInd w:val="0"/>
        <w:snapToGrid/>
        <w:spacing w:line="600" w:lineRule="exact"/>
        <w:ind w:firstLine="640"/>
        <w:textAlignment w:val="auto"/>
        <w:rPr>
          <w:rFonts w:hint="eastAsia" w:ascii="仿宋" w:hAnsi="仿宋" w:eastAsia="仿宋" w:cs="仿宋_GB2312"/>
          <w:color w:val="000000" w:themeColor="text1"/>
          <w:sz w:val="32"/>
          <w:szCs w:val="40"/>
          <w:highlight w:val="none"/>
          <w14:textFill>
            <w14:solidFill>
              <w14:schemeClr w14:val="tx1"/>
            </w14:solidFill>
          </w14:textFill>
        </w:rPr>
      </w:pPr>
      <w:r>
        <w:rPr>
          <w:rFonts w:hint="eastAsia" w:ascii="华文楷体" w:hAnsi="华文楷体" w:eastAsia="华文楷体" w:cs="方正楷体_GBK"/>
          <w:b/>
          <w:bCs/>
          <w:color w:val="000000" w:themeColor="text1"/>
          <w:sz w:val="32"/>
          <w:szCs w:val="32"/>
          <w:highlight w:val="none"/>
          <w14:textFill>
            <w14:solidFill>
              <w14:schemeClr w14:val="tx1"/>
            </w14:solidFill>
          </w14:textFill>
        </w:rPr>
        <w:t>（三）各设区市、平潭综合实验区。</w:t>
      </w:r>
      <w:r>
        <w:rPr>
          <w:rFonts w:hint="eastAsia" w:ascii="仿宋_GB2312" w:hAnsi="仿宋_GB2312" w:eastAsia="仿宋_GB2312" w:cs="仿宋_GB2312"/>
          <w:color w:val="000000" w:themeColor="text1"/>
          <w:sz w:val="32"/>
          <w:szCs w:val="32"/>
          <w:highlight w:val="none"/>
          <w14:textFill>
            <w14:solidFill>
              <w14:schemeClr w14:val="tx1"/>
            </w14:solidFill>
          </w14:textFill>
        </w:rPr>
        <w:t>认真落实营商环境政策要求，完成各项目标任务。对标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先进</w:t>
      </w:r>
      <w:r>
        <w:rPr>
          <w:rFonts w:hint="eastAsia" w:ascii="仿宋_GB2312" w:hAnsi="仿宋_GB2312" w:eastAsia="仿宋_GB2312" w:cs="仿宋_GB2312"/>
          <w:color w:val="000000" w:themeColor="text1"/>
          <w:sz w:val="32"/>
          <w:szCs w:val="32"/>
          <w:highlight w:val="none"/>
          <w14:textFill>
            <w14:solidFill>
              <w14:schemeClr w14:val="tx1"/>
            </w14:solidFill>
          </w14:textFill>
        </w:rPr>
        <w:t>，学习借鉴先进经验，提升各项指标水平。及时、全量、准确推送日常监测所需数据。</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结合</w:t>
      </w:r>
      <w:r>
        <w:rPr>
          <w:rFonts w:hint="eastAsia" w:ascii="仿宋_GB2312" w:hAnsi="仿宋_GB2312" w:eastAsia="仿宋_GB2312" w:cs="仿宋_GB2312"/>
          <w:color w:val="000000" w:themeColor="text1"/>
          <w:spacing w:val="-5"/>
          <w:kern w:val="0"/>
          <w:sz w:val="32"/>
          <w:szCs w:val="32"/>
          <w:highlight w:val="none"/>
          <w:lang w:val="en-US" w:eastAsia="zh-CN"/>
          <w14:textFill>
            <w14:solidFill>
              <w14:schemeClr w14:val="tx1"/>
            </w14:solidFill>
          </w14:textFill>
        </w:rPr>
        <w:t>本地</w:t>
      </w:r>
      <w:r>
        <w:rPr>
          <w:rFonts w:hint="eastAsia" w:ascii="仿宋_GB2312" w:hAnsi="仿宋_GB2312" w:eastAsia="仿宋_GB2312" w:cs="仿宋_GB2312"/>
          <w:color w:val="000000" w:themeColor="text1"/>
          <w:spacing w:val="-5"/>
          <w:kern w:val="0"/>
          <w:sz w:val="32"/>
          <w:szCs w:val="32"/>
          <w:highlight w:val="none"/>
          <w14:textFill>
            <w14:solidFill>
              <w14:schemeClr w14:val="tx1"/>
            </w14:solidFill>
          </w14:textFill>
        </w:rPr>
        <w:t>实际，改革创新，</w:t>
      </w:r>
      <w:r>
        <w:rPr>
          <w:rFonts w:hint="eastAsia" w:ascii="仿宋_GB2312" w:hAnsi="仿宋_GB2312" w:eastAsia="仿宋_GB2312" w:cs="仿宋_GB2312"/>
          <w:color w:val="000000" w:themeColor="text1"/>
          <w:sz w:val="32"/>
          <w:szCs w:val="40"/>
          <w:highlight w:val="none"/>
          <w14:textFill>
            <w14:solidFill>
              <w14:schemeClr w14:val="tx1"/>
            </w14:solidFill>
          </w14:textFill>
        </w:rPr>
        <w:t>根据监测督导情况，及时针对薄弱环节采取有针对性的具体措施，补齐短板弱项，提升</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经营</w:t>
      </w:r>
      <w:r>
        <w:rPr>
          <w:rFonts w:hint="eastAsia" w:ascii="仿宋_GB2312" w:hAnsi="仿宋_GB2312" w:eastAsia="仿宋_GB2312" w:cs="仿宋_GB2312"/>
          <w:color w:val="000000" w:themeColor="text1"/>
          <w:sz w:val="32"/>
          <w:szCs w:val="40"/>
          <w:highlight w:val="none"/>
          <w14:textFill>
            <w14:solidFill>
              <w14:schemeClr w14:val="tx1"/>
            </w14:solidFill>
          </w14:textFill>
        </w:rPr>
        <w:t>主体获得感和满意度，</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持续优化</w:t>
      </w:r>
      <w:r>
        <w:rPr>
          <w:rFonts w:hint="eastAsia" w:ascii="仿宋_GB2312" w:hAnsi="仿宋_GB2312" w:eastAsia="仿宋_GB2312" w:cs="仿宋_GB2312"/>
          <w:color w:val="000000" w:themeColor="text1"/>
          <w:sz w:val="32"/>
          <w:szCs w:val="40"/>
          <w:highlight w:val="none"/>
          <w14:textFill>
            <w14:solidFill>
              <w14:schemeClr w14:val="tx1"/>
            </w14:solidFill>
          </w14:textFill>
        </w:rPr>
        <w:t>本地区营商环境。</w:t>
      </w:r>
    </w:p>
    <w:p>
      <w:pPr>
        <w:keepNext w:val="0"/>
        <w:keepLines w:val="0"/>
        <w:pageBreakBefore w:val="0"/>
        <w:widowControl w:val="0"/>
        <w:pBdr>
          <w:bottom w:val="single" w:color="FFFFFF" w:sz="4" w:space="29"/>
        </w:pBdr>
        <w:kinsoku/>
        <w:wordWrap/>
        <w:overflowPunct/>
        <w:topLinePunct w:val="0"/>
        <w:autoSpaceDE/>
        <w:autoSpaceDN/>
        <w:bidi w:val="0"/>
        <w:adjustRightInd w:val="0"/>
        <w:snapToGrid/>
        <w:spacing w:line="600" w:lineRule="exact"/>
        <w:ind w:firstLine="640"/>
        <w:textAlignment w:val="auto"/>
        <w:rPr>
          <w:rFonts w:hint="eastAsia" w:ascii="仿宋_GB2312" w:hAnsi="仿宋_GB2312" w:eastAsia="仿宋_GB2312" w:cs="仿宋_GB2312"/>
          <w:color w:val="FF0000"/>
          <w:sz w:val="32"/>
          <w:szCs w:val="40"/>
          <w:highlight w:val="none"/>
          <w:lang w:val="en-US" w:eastAsia="zh-CN"/>
        </w:rPr>
      </w:pPr>
      <w:r>
        <w:rPr>
          <w:rFonts w:hint="eastAsia" w:ascii="仿宋_GB2312" w:hAnsi="仿宋_GB2312" w:eastAsia="仿宋_GB2312" w:cs="仿宋_GB2312"/>
          <w:color w:val="000000" w:themeColor="text1"/>
          <w:sz w:val="32"/>
          <w:szCs w:val="40"/>
          <w:highlight w:val="none"/>
          <w14:textFill>
            <w14:solidFill>
              <w14:schemeClr w14:val="tx1"/>
            </w14:solidFill>
          </w14:textFill>
        </w:rPr>
        <w:t>优化营商环境是一项跨部门、跨领域、跨层级的系统工程，要牢固树立“人人都是营商环境、事事关系营商环境”理念，充分调动各级各部门和社会各界的积极性，加强</w:t>
      </w:r>
      <w:r>
        <w:rPr>
          <w:rFonts w:hint="eastAsia" w:ascii="仿宋_GB2312" w:hAnsi="仿宋_GB2312" w:eastAsia="仿宋_GB2312" w:cs="仿宋_GB2312"/>
          <w:color w:val="auto"/>
          <w:sz w:val="32"/>
          <w:szCs w:val="40"/>
          <w:highlight w:val="none"/>
        </w:rPr>
        <w:t>协作联动，形成工作合力。对标国际国内一流，聚焦市场化、法治化、国际化、便利化，结合各地实际，持续推进营商环境建设。</w:t>
      </w:r>
    </w:p>
    <w:p>
      <w:pPr>
        <w:keepNext w:val="0"/>
        <w:keepLines w:val="0"/>
        <w:pageBreakBefore w:val="0"/>
        <w:widowControl w:val="0"/>
        <w:numPr>
          <w:ilvl w:val="255"/>
          <w:numId w:val="0"/>
        </w:numPr>
        <w:pBdr>
          <w:bottom w:val="single" w:color="FFFFFF" w:sz="4" w:space="29"/>
        </w:pBdr>
        <w:tabs>
          <w:tab w:val="left" w:pos="1050"/>
          <w:tab w:val="left" w:pos="7350"/>
        </w:tabs>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color w:val="000000"/>
          <w:sz w:val="32"/>
          <w:szCs w:val="32"/>
          <w:highlight w:val="none"/>
        </w:rPr>
        <w:sectPr>
          <w:footerReference r:id="rId3"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numPr>
          <w:ilvl w:val="0"/>
          <w:numId w:val="0"/>
        </w:numPr>
        <w:pBdr>
          <w:bottom w:val="single" w:color="FFFFFF" w:sz="4" w:space="29"/>
        </w:pBdr>
        <w:tabs>
          <w:tab w:val="left" w:pos="1050"/>
          <w:tab w:val="left" w:pos="7350"/>
        </w:tabs>
        <w:kinsoku/>
        <w:wordWrap/>
        <w:overflowPunct/>
        <w:topLinePunct w:val="0"/>
        <w:autoSpaceDE/>
        <w:autoSpaceDN/>
        <w:bidi w:val="0"/>
        <w:adjustRightInd w:val="0"/>
        <w:snapToGrid w:val="0"/>
        <w:spacing w:line="600" w:lineRule="exact"/>
        <w:ind w:firstLine="640" w:firstLineChars="200"/>
        <w:textAlignment w:val="auto"/>
        <w:outlineLvl w:val="0"/>
        <w:rPr>
          <w:rFonts w:hint="eastAsia"/>
          <w:highlight w:val="none"/>
        </w:rPr>
      </w:pPr>
      <w:r>
        <w:rPr>
          <w:rFonts w:hint="eastAsia" w:ascii="黑体" w:hAnsi="黑体" w:eastAsia="黑体" w:cs="黑体"/>
          <w:color w:val="000000"/>
          <w:kern w:val="2"/>
          <w:sz w:val="32"/>
          <w:szCs w:val="32"/>
          <w:highlight w:val="none"/>
          <w:lang w:val="en-US" w:eastAsia="zh-CN" w:bidi="ar-SA"/>
        </w:rPr>
        <w:t>五、</w:t>
      </w:r>
      <w:r>
        <w:rPr>
          <w:rFonts w:hint="eastAsia" w:ascii="黑体" w:hAnsi="黑体" w:eastAsia="黑体" w:cs="黑体"/>
          <w:color w:val="000000"/>
          <w:sz w:val="32"/>
          <w:szCs w:val="32"/>
          <w:highlight w:val="none"/>
        </w:rPr>
        <w:t>监测督导体系</w:t>
      </w:r>
    </w:p>
    <w:tbl>
      <w:tblPr>
        <w:tblStyle w:val="8"/>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04"/>
        <w:gridCol w:w="1769"/>
        <w:gridCol w:w="657"/>
        <w:gridCol w:w="13"/>
        <w:gridCol w:w="1973"/>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3" w:hRule="atLeast"/>
          <w:tblHeader/>
          <w:jc w:val="center"/>
        </w:trPr>
        <w:tc>
          <w:tcPr>
            <w:tcW w:w="13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kern w:val="0"/>
                <w:sz w:val="24"/>
                <w:szCs w:val="24"/>
                <w:highlight w:val="none"/>
                <w:lang w:bidi="ar"/>
                <w14:textFill>
                  <w14:solidFill>
                    <w14:schemeClr w14:val="tx1"/>
                  </w14:solidFill>
                </w14:textFill>
              </w:rPr>
              <w:t>模块及权重</w:t>
            </w:r>
          </w:p>
        </w:tc>
        <w:tc>
          <w:tcPr>
            <w:tcW w:w="17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kern w:val="0"/>
                <w:sz w:val="24"/>
                <w:szCs w:val="24"/>
                <w:highlight w:val="none"/>
                <w:lang w:bidi="ar"/>
                <w14:textFill>
                  <w14:solidFill>
                    <w14:schemeClr w14:val="tx1"/>
                  </w14:solidFill>
                </w14:textFill>
              </w:rPr>
              <w:t>监测督导事项</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kern w:val="0"/>
                <w:sz w:val="24"/>
                <w:szCs w:val="24"/>
                <w:highlight w:val="none"/>
                <w:lang w:val="en-US" w:eastAsia="zh-CN" w:bidi="ar"/>
                <w14:textFill>
                  <w14:solidFill>
                    <w14:schemeClr w14:val="tx1"/>
                  </w14:solidFill>
                </w14:textFill>
              </w:rPr>
              <w:t>分数</w:t>
            </w:r>
          </w:p>
        </w:tc>
        <w:tc>
          <w:tcPr>
            <w:tcW w:w="198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kern w:val="0"/>
                <w:sz w:val="24"/>
                <w:szCs w:val="24"/>
                <w:highlight w:val="none"/>
                <w:lang w:bidi="ar"/>
                <w14:textFill>
                  <w14:solidFill>
                    <w14:schemeClr w14:val="tx1"/>
                  </w14:solidFill>
                </w14:textFill>
              </w:rPr>
              <w:t>监测督导内容</w:t>
            </w:r>
          </w:p>
        </w:tc>
        <w:tc>
          <w:tcPr>
            <w:tcW w:w="88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color w:val="000000" w:themeColor="text1"/>
                <w:kern w:val="0"/>
                <w:sz w:val="24"/>
                <w:szCs w:val="24"/>
                <w:highlight w:val="none"/>
                <w:shd w:val="clear" w:color="auto" w:fill="FF0000"/>
                <w:lang w:bidi="ar"/>
                <w14:textFill>
                  <w14:solidFill>
                    <w14:schemeClr w14:val="tx1"/>
                  </w14:solidFill>
                </w14:textFill>
              </w:rPr>
            </w:pPr>
            <w:r>
              <w:rPr>
                <w:rFonts w:hint="eastAsia" w:ascii="仿宋_GB2312" w:hAnsi="仿宋_GB2312" w:eastAsia="仿宋_GB2312" w:cs="仿宋_GB2312"/>
                <w:b/>
                <w:color w:val="000000" w:themeColor="text1"/>
                <w:kern w:val="0"/>
                <w:sz w:val="24"/>
                <w:szCs w:val="24"/>
                <w:highlight w:val="none"/>
                <w:lang w:bidi="ar"/>
                <w14:textFill>
                  <w14:solidFill>
                    <w14:schemeClr w14:val="tx1"/>
                  </w14:solidFill>
                </w14:textFill>
              </w:rPr>
              <w:t>实施规则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jc w:val="center"/>
        </w:trPr>
        <w:tc>
          <w:tcPr>
            <w:tcW w:w="130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t>日常监测</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t>（</w:t>
            </w:r>
            <w:r>
              <w:rPr>
                <w:rFonts w:hint="eastAsia" w:ascii="仿宋_GB2312" w:hAnsi="仿宋_GB2312" w:eastAsia="仿宋_GB2312" w:cs="仿宋_GB2312"/>
                <w:b/>
                <w:bCs/>
                <w:color w:val="000000" w:themeColor="text1"/>
                <w:kern w:val="0"/>
                <w:sz w:val="24"/>
                <w:highlight w:val="none"/>
                <w:lang w:val="en-US" w:eastAsia="zh-CN" w:bidi="ar"/>
                <w14:textFill>
                  <w14:solidFill>
                    <w14:schemeClr w14:val="tx1"/>
                  </w14:solidFill>
                </w14:textFill>
              </w:rPr>
              <w:t>50分</w:t>
            </w:r>
            <w:r>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t>）</w:t>
            </w:r>
          </w:p>
        </w:tc>
        <w:tc>
          <w:tcPr>
            <w:tcW w:w="17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指标监测</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default" w:ascii="仿宋_GB2312" w:hAnsi="仿宋_GB2312" w:eastAsia="仿宋_GB2312" w:cs="仿宋_GB2312"/>
                <w:color w:val="000000" w:themeColor="text1"/>
                <w:sz w:val="24"/>
                <w:highlight w:val="none"/>
                <w:lang w:val="en-US"/>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25分</w:t>
            </w:r>
          </w:p>
        </w:tc>
        <w:tc>
          <w:tcPr>
            <w:tcW w:w="198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营商环境监测督导指标完成情况</w:t>
            </w:r>
          </w:p>
        </w:tc>
        <w:tc>
          <w:tcPr>
            <w:tcW w:w="88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strike/>
                <w:color w:val="000000" w:themeColor="text1"/>
                <w:kern w:val="0"/>
                <w:sz w:val="24"/>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1.202</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5</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年度</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营商环境数字化监测督导</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指标体系共设置10个一级指标、</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30</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个二级指标、8</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2</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个监测事项、</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163</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个采集数据项，另设</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22</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个观察事项。</w:t>
            </w:r>
          </w:p>
          <w:p>
            <w:pPr>
              <w:pStyle w:val="2"/>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outlineLvl w:val="9"/>
              <w:rPr>
                <w:rFonts w:hint="eastAsia" w:ascii="仿宋_GB2312" w:hAnsi="仿宋_GB2312" w:eastAsia="仿宋_GB2312" w:cs="仿宋_GB2312"/>
                <w:color w:val="000000" w:themeColor="text1"/>
                <w:kern w:val="0"/>
                <w:sz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2.</w:t>
            </w:r>
            <w:r>
              <w:rPr>
                <w:rFonts w:hint="eastAsia" w:ascii="仿宋_GB2312" w:hAnsi="仿宋_GB2312" w:eastAsia="仿宋_GB2312" w:cs="仿宋_GB2312"/>
                <w:color w:val="000000" w:themeColor="text1"/>
                <w:kern w:val="0"/>
                <w:sz w:val="24"/>
                <w:szCs w:val="24"/>
                <w:highlight w:val="none"/>
                <w:lang w:val="en-US" w:eastAsia="zh-CN" w:bidi="ar"/>
                <w14:textFill>
                  <w14:solidFill>
                    <w14:schemeClr w14:val="tx1"/>
                  </w14:solidFill>
                </w14:textFill>
              </w:rPr>
              <w:t>指标监测满分25分，指标体系总分按照所有监测事项的得分相加</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lang w:val="en-US" w:eastAsia="zh-CN" w:bidi="ar"/>
                <w14:textFill>
                  <w14:solidFill>
                    <w14:schemeClr w14:val="tx1"/>
                  </w14:solidFill>
                </w14:textFill>
              </w:rPr>
              <w:t>各个监测事项</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分别采取层差法、非此即彼法等计算方法</w:t>
            </w:r>
            <w:r>
              <w:rPr>
                <w:rFonts w:hint="eastAsia" w:ascii="仿宋_GB2312" w:hAnsi="仿宋_GB2312" w:eastAsia="仿宋_GB2312" w:cs="仿宋_GB2312"/>
                <w:color w:val="000000" w:themeColor="text1"/>
                <w:kern w:val="0"/>
                <w:sz w:val="24"/>
                <w:szCs w:val="24"/>
                <w:highlight w:val="none"/>
                <w:lang w:val="en-US" w:eastAsia="zh-CN" w:bidi="ar"/>
                <w14:textFill>
                  <w14:solidFill>
                    <w14:schemeClr w14:val="tx1"/>
                  </w14:solidFill>
                </w14:textFill>
              </w:rPr>
              <w:t>计分</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3" w:hRule="atLeast"/>
          <w:jc w:val="center"/>
        </w:trPr>
        <w:tc>
          <w:tcPr>
            <w:tcW w:w="1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000000" w:themeColor="text1"/>
                <w:sz w:val="24"/>
                <w:highlight w:val="none"/>
                <w14:textFill>
                  <w14:solidFill>
                    <w14:schemeClr w14:val="tx1"/>
                  </w14:solidFill>
                </w14:textFill>
              </w:rPr>
            </w:pPr>
          </w:p>
        </w:tc>
        <w:tc>
          <w:tcPr>
            <w:tcW w:w="17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目标</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任务落实</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10分</w:t>
            </w:r>
          </w:p>
        </w:tc>
        <w:tc>
          <w:tcPr>
            <w:tcW w:w="198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监测营商环境相关</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目标</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任务</w:t>
            </w:r>
            <w:r>
              <w:rPr>
                <w:rFonts w:hint="eastAsia" w:ascii="仿宋_GB2312" w:hAnsi="仿宋_GB2312" w:eastAsia="仿宋_GB2312" w:cs="仿宋_GB2312"/>
                <w:color w:val="000000" w:themeColor="text1"/>
                <w:kern w:val="0"/>
                <w:sz w:val="24"/>
                <w:highlight w:val="none"/>
                <w:lang w:eastAsia="zh-Hans" w:bidi="ar"/>
                <w14:textFill>
                  <w14:solidFill>
                    <w14:schemeClr w14:val="tx1"/>
                  </w14:solidFill>
                </w14:textFill>
              </w:rPr>
              <w:t>完成</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情况</w:t>
            </w:r>
          </w:p>
        </w:tc>
        <w:tc>
          <w:tcPr>
            <w:tcW w:w="8880"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kern w:val="0"/>
                <w:sz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满分</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10</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分，</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完成发布的所有目标任务，</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即</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得</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满分</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，每少落实一条目标任务扣0.1分，扣完为止。</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kern w:val="0"/>
                <w:sz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2.省有关部门将新增需落实的目标任务名称、具体涉及内容、文件依据上传至监测督导平台，</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通过</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平台发至各地市。</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outlineLvl w:val="9"/>
              <w:rPr>
                <w:rFonts w:hint="eastAsia" w:ascii="仿宋_GB2312" w:hAnsi="仿宋_GB2312" w:eastAsia="仿宋_GB2312" w:cs="仿宋_GB2312"/>
                <w:color w:val="000000" w:themeColor="text1"/>
                <w:kern w:val="0"/>
                <w:sz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3.各地市在规定时间内反馈目标任务完成情况，并上传佐证材料（佐证材料类型：包括但不限于红头文件、实施细则、工作部署情况、实际案例等。）</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kern w:val="0"/>
                <w:sz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4</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.平台定期将佐证材料推送省有关部门核实确认。①在时限内已完成，按完成任务</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落实进度情况</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取得相应分值。②持续推进的任务阶段性完成，按阶段性完成任务</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落实进度情况</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取得相应分值。③在时限内正在落实或超期未完成的任务，</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每少落实一条任务扣0.1分，扣完为止。</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在时限内未完成的任务转入问题整改清单。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925" w:hRule="atLeast"/>
          <w:jc w:val="center"/>
        </w:trPr>
        <w:tc>
          <w:tcPr>
            <w:tcW w:w="130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t>日常监测</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t>（</w:t>
            </w:r>
            <w:r>
              <w:rPr>
                <w:rFonts w:hint="eastAsia" w:ascii="仿宋_GB2312" w:hAnsi="仿宋_GB2312" w:eastAsia="仿宋_GB2312" w:cs="仿宋_GB2312"/>
                <w:b/>
                <w:bCs/>
                <w:color w:val="000000" w:themeColor="text1"/>
                <w:kern w:val="0"/>
                <w:sz w:val="24"/>
                <w:highlight w:val="none"/>
                <w:lang w:val="en-US" w:eastAsia="zh-CN" w:bidi="ar"/>
                <w14:textFill>
                  <w14:solidFill>
                    <w14:schemeClr w14:val="tx1"/>
                  </w14:solidFill>
                </w14:textFill>
              </w:rPr>
              <w:t>50分</w:t>
            </w:r>
            <w:r>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t>）</w:t>
            </w:r>
          </w:p>
        </w:tc>
        <w:tc>
          <w:tcPr>
            <w:tcW w:w="17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themeColor="text1"/>
                <w:kern w:val="0"/>
                <w:sz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问题整改</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15分</w:t>
            </w:r>
          </w:p>
        </w:tc>
        <w:tc>
          <w:tcPr>
            <w:tcW w:w="198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kern w:val="0"/>
                <w:sz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营商环境相关问题整改落实情况</w:t>
            </w:r>
          </w:p>
        </w:tc>
        <w:tc>
          <w:tcPr>
            <w:tcW w:w="8880"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kern w:val="0"/>
                <w:sz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满分</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15</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分，</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完成发布的下发问题整改，</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即</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得</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满分</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，每少落实一条问题整改扣0.1分，扣完为止。</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center"/>
              <w:outlineLvl w:val="9"/>
              <w:rPr>
                <w:rFonts w:hint="eastAsia" w:ascii="仿宋_GB2312" w:hAnsi="仿宋_GB2312" w:eastAsia="仿宋_GB2312" w:cs="仿宋_GB2312"/>
                <w:color w:val="000000" w:themeColor="text1"/>
                <w:kern w:val="0"/>
                <w:sz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2.</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根据日常监测、满意度调查、现场核验结果，以及省有关部门梳理的全省营商环境堵点难点问题，形成问题清单，通过平台发各地各部门。各地各部门按照整改时限进行问题整改，定期反馈整改情况，并上传佐证材料。（佐证材料类型：包括但不限于红头文件、实施细则、工作部署情况、实际案例等。）</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center"/>
              <w:outlineLvl w:val="9"/>
              <w:rPr>
                <w:rFonts w:hint="eastAsia" w:ascii="仿宋_GB2312" w:hAnsi="仿宋_GB2312" w:eastAsia="仿宋_GB2312" w:cs="仿宋_GB2312"/>
                <w:color w:val="000000" w:themeColor="text1"/>
                <w:kern w:val="0"/>
                <w:sz w:val="24"/>
                <w:highlight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3.</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平台对问题整改情况和佐证材料进行识别判断，将需要确认内容推送省有关部门。整改完成情况得分</w:t>
            </w:r>
            <w:r>
              <w:rPr>
                <w:rFonts w:hint="eastAsia" w:ascii="仿宋_GB2312" w:hAnsi="仿宋_GB2312" w:eastAsia="仿宋_GB2312" w:cs="仿宋_GB2312"/>
                <w:color w:val="000000" w:themeColor="text1"/>
                <w:kern w:val="0"/>
                <w:sz w:val="24"/>
                <w:highlight w:val="none"/>
                <w:lang w:eastAsia="zh-CN" w:bidi="ar"/>
                <w14:textFill>
                  <w14:solidFill>
                    <w14:schemeClr w14:val="tx1"/>
                  </w14:solidFill>
                </w14:textFill>
              </w:rPr>
              <w:t>以</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整改完成的问题</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进度情况取得相应分值，每少整改一条问题清单扣0.1分，扣完为止。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225" w:hRule="atLeast"/>
          <w:jc w:val="center"/>
        </w:trPr>
        <w:tc>
          <w:tcPr>
            <w:tcW w:w="1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000000" w:themeColor="text1"/>
                <w:sz w:val="24"/>
                <w:highlight w:val="none"/>
                <w14:textFill>
                  <w14:solidFill>
                    <w14:schemeClr w14:val="tx1"/>
                  </w14:solidFill>
                </w14:textFill>
              </w:rPr>
            </w:pPr>
          </w:p>
        </w:tc>
        <w:tc>
          <w:tcPr>
            <w:tcW w:w="17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实地走访核验</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w:t>
            </w:r>
          </w:p>
        </w:tc>
        <w:tc>
          <w:tcPr>
            <w:tcW w:w="198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kern w:val="0"/>
                <w:sz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实地核验监测数据是否真实</w:t>
            </w:r>
          </w:p>
        </w:tc>
        <w:tc>
          <w:tcPr>
            <w:tcW w:w="88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kern w:val="0"/>
                <w:sz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与日常监测情况不符的，在该指标中</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对该项</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予以双倍扣分。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05" w:hRule="atLeast"/>
          <w:jc w:val="center"/>
        </w:trPr>
        <w:tc>
          <w:tcPr>
            <w:tcW w:w="13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strike w:val="0"/>
                <w:dstrike w:val="0"/>
                <w:color w:val="000000" w:themeColor="text1"/>
                <w:kern w:val="0"/>
                <w:sz w:val="24"/>
                <w:highlight w:val="none"/>
                <w:lang w:val="en-US" w:eastAsia="zh-CN" w:bidi="ar"/>
                <w14:textFill>
                  <w14:solidFill>
                    <w14:schemeClr w14:val="tx1"/>
                  </w14:solidFill>
                </w14:textFill>
              </w:rPr>
              <w:t>经营主体</w:t>
            </w:r>
            <w:r>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t>满意度调查</w:t>
            </w:r>
            <w:r>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br w:type="textWrapping"/>
            </w:r>
            <w:r>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t>（</w:t>
            </w:r>
            <w:r>
              <w:rPr>
                <w:rFonts w:hint="eastAsia" w:ascii="仿宋_GB2312" w:hAnsi="仿宋_GB2312" w:eastAsia="仿宋_GB2312" w:cs="仿宋_GB2312"/>
                <w:b/>
                <w:bCs/>
                <w:color w:val="000000" w:themeColor="text1"/>
                <w:kern w:val="0"/>
                <w:sz w:val="24"/>
                <w:highlight w:val="none"/>
                <w:lang w:val="en-US" w:eastAsia="zh-CN" w:bidi="ar"/>
                <w14:textFill>
                  <w14:solidFill>
                    <w14:schemeClr w14:val="tx1"/>
                  </w14:solidFill>
                </w14:textFill>
              </w:rPr>
              <w:t>40分</w:t>
            </w:r>
            <w:r>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t>）</w:t>
            </w:r>
          </w:p>
        </w:tc>
        <w:tc>
          <w:tcPr>
            <w:tcW w:w="17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themeColor="text1"/>
                <w:kern w:val="0"/>
                <w:sz w:val="24"/>
                <w:highlight w:val="none"/>
                <w:lang w:eastAsia="zh-Hans"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Hans" w:bidi="ar"/>
                <w14:textFill>
                  <w14:solidFill>
                    <w14:schemeClr w14:val="tx1"/>
                  </w14:solidFill>
                </w14:textFill>
              </w:rPr>
              <w:t>日常满意度及</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Hans" w:bidi="ar"/>
                <w14:textFill>
                  <w14:solidFill>
                    <w14:schemeClr w14:val="tx1"/>
                  </w14:solidFill>
                </w14:textFill>
              </w:rPr>
              <w:t>网络舆情监测</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themeColor="text1"/>
                <w:kern w:val="0"/>
                <w:sz w:val="24"/>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16分</w:t>
            </w:r>
          </w:p>
        </w:tc>
        <w:tc>
          <w:tcPr>
            <w:tcW w:w="1986" w:type="dxa"/>
            <w:gridSpan w:val="2"/>
            <w:shd w:val="clear" w:color="auto" w:fill="auto"/>
            <w:vAlign w:val="center"/>
          </w:tcPr>
          <w:p>
            <w:pPr>
              <w:pStyle w:val="11"/>
              <w:keepNext w:val="0"/>
              <w:keepLines w:val="0"/>
              <w:pageBreakBefore w:val="0"/>
              <w:kinsoku/>
              <w:wordWrap/>
              <w:overflowPunct/>
              <w:topLinePunct w:val="0"/>
              <w:autoSpaceDE/>
              <w:autoSpaceDN/>
              <w:bidi w:val="0"/>
              <w:adjustRightInd/>
              <w:snapToGrid/>
              <w:spacing w:before="78" w:line="440" w:lineRule="exact"/>
              <w:ind w:right="13" w:rightChars="0"/>
              <w:jc w:val="left"/>
              <w:rPr>
                <w:rFonts w:hint="eastAsia" w:ascii="仿宋_GB2312" w:hAnsi="仿宋_GB2312" w:eastAsia="仿宋_GB2312" w:cs="仿宋_GB2312"/>
                <w:color w:val="000000" w:themeColor="text1"/>
                <w:kern w:val="0"/>
                <w:sz w:val="24"/>
                <w:highlight w:val="none"/>
                <w:lang w:bidi="ar"/>
                <w14:textFill>
                  <w14:solidFill>
                    <w14:schemeClr w14:val="tx1"/>
                  </w14:solidFill>
                </w14:textFill>
              </w:rPr>
            </w:pPr>
            <w:r>
              <w:rPr>
                <w:color w:val="000000" w:themeColor="text1"/>
                <w:spacing w:val="-3"/>
                <w:highlight w:val="none"/>
                <w14:textFill>
                  <w14:solidFill>
                    <w14:schemeClr w14:val="tx1"/>
                  </w14:solidFill>
                </w14:textFill>
              </w:rPr>
              <w:t>法人事项日常办件</w:t>
            </w:r>
            <w:r>
              <w:rPr>
                <w:color w:val="000000" w:themeColor="text1"/>
                <w:spacing w:val="2"/>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满意度（即政务服务</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“好差评”）及营商</w:t>
            </w:r>
            <w:r>
              <w:rPr>
                <w:color w:val="000000" w:themeColor="text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环境网络舆情监测</w:t>
            </w:r>
            <w:r>
              <w:rPr>
                <w:color w:val="000000" w:themeColor="text1"/>
                <w:spacing w:val="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处置情况</w:t>
            </w:r>
          </w:p>
        </w:tc>
        <w:tc>
          <w:tcPr>
            <w:tcW w:w="8880" w:type="dxa"/>
            <w:shd w:val="clear" w:color="auto" w:fill="auto"/>
            <w:vAlign w:val="center"/>
          </w:tcPr>
          <w:p>
            <w:pPr>
              <w:pStyle w:val="11"/>
              <w:keepNext w:val="0"/>
              <w:keepLines w:val="0"/>
              <w:pageBreakBefore w:val="0"/>
              <w:kinsoku/>
              <w:wordWrap/>
              <w:overflowPunct/>
              <w:topLinePunct w:val="0"/>
              <w:autoSpaceDE/>
              <w:autoSpaceDN/>
              <w:bidi w:val="0"/>
              <w:adjustRightInd/>
              <w:snapToGrid/>
              <w:spacing w:before="0" w:line="440" w:lineRule="exact"/>
              <w:ind w:left="19" w:right="37" w:firstLine="17"/>
              <w:jc w:val="left"/>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 xml:space="preserve">1.通过与政务一体化平台系统对接的方式，实时获取法人日常办件满意度评价数据。 </w:t>
            </w:r>
            <w:r>
              <w:rPr>
                <w:rFonts w:hint="default"/>
                <w:color w:val="000000" w:themeColor="text1"/>
                <w:spacing w:val="-2"/>
                <w:highlight w:val="none"/>
                <w:lang w:val="en-US" w:eastAsia="zh-CN"/>
                <w14:textFill>
                  <w14:solidFill>
                    <w14:schemeClr w14:val="tx1"/>
                  </w14:solidFill>
                </w14:textFill>
              </w:rPr>
              <w:t>统计各设区市综合办件满意率</w:t>
            </w:r>
            <w:r>
              <w:rPr>
                <w:color w:val="000000" w:themeColor="text1"/>
                <w:spacing w:val="-2"/>
                <w:highlight w:val="none"/>
                <w14:textFill>
                  <w14:solidFill>
                    <w14:schemeClr w14:val="tx1"/>
                  </w14:solidFill>
                </w14:textFill>
              </w:rPr>
              <w:t>，</w:t>
            </w:r>
            <w:r>
              <w:rPr>
                <w:rFonts w:hint="default"/>
                <w:color w:val="000000" w:themeColor="text1"/>
                <w:spacing w:val="-2"/>
                <w:highlight w:val="none"/>
                <w:lang w:val="en-US" w:eastAsia="zh-CN"/>
                <w14:textFill>
                  <w14:solidFill>
                    <w14:schemeClr w14:val="tx1"/>
                  </w14:solidFill>
                </w14:textFill>
              </w:rPr>
              <w:t>满意率低于</w:t>
            </w:r>
            <w:r>
              <w:rPr>
                <w:rFonts w:hint="eastAsia"/>
                <w:color w:val="000000" w:themeColor="text1"/>
                <w:spacing w:val="-2"/>
                <w:highlight w:val="none"/>
                <w:lang w:val="en-US" w:eastAsia="zh-CN"/>
                <w14:textFill>
                  <w14:solidFill>
                    <w14:schemeClr w14:val="tx1"/>
                  </w14:solidFill>
                </w14:textFill>
              </w:rPr>
              <w:t>本地区</w:t>
            </w:r>
            <w:r>
              <w:rPr>
                <w:rFonts w:hint="default"/>
                <w:color w:val="000000" w:themeColor="text1"/>
                <w:spacing w:val="-2"/>
                <w:highlight w:val="none"/>
                <w:lang w:val="en-US" w:eastAsia="zh-CN"/>
                <w14:textFill>
                  <w14:solidFill>
                    <w14:schemeClr w14:val="tx1"/>
                  </w14:solidFill>
                </w14:textFill>
              </w:rPr>
              <w:t>前三年加权平均值扣0.5分</w:t>
            </w:r>
            <w:r>
              <w:rPr>
                <w:color w:val="000000" w:themeColor="text1"/>
                <w:spacing w:val="-2"/>
                <w:highlight w:val="none"/>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before="0" w:line="440" w:lineRule="exact"/>
              <w:ind w:left="19" w:leftChars="0" w:right="37" w:rightChars="0" w:firstLine="17" w:firstLineChars="0"/>
              <w:jc w:val="left"/>
              <w:textAlignment w:val="auto"/>
              <w:outlineLvl w:val="9"/>
              <w:rPr>
                <w:rFonts w:hint="default" w:ascii="FangSong_GB2312" w:hAnsi="FangSong_GB2312" w:eastAsia="FangSong_GB2312" w:cs="FangSong_GB2312"/>
                <w:color w:val="000000" w:themeColor="text1"/>
                <w:spacing w:val="-2"/>
                <w:sz w:val="24"/>
                <w:szCs w:val="24"/>
                <w:highlight w:val="none"/>
                <w:lang w:val="en-US" w:eastAsia="zh-CN"/>
                <w14:textFill>
                  <w14:solidFill>
                    <w14:schemeClr w14:val="tx1"/>
                  </w14:solidFill>
                </w14:textFill>
              </w:rPr>
            </w:pPr>
            <w:r>
              <w:rPr>
                <w:color w:val="000000" w:themeColor="text1"/>
                <w:spacing w:val="-2"/>
                <w:highlight w:val="none"/>
                <w14:textFill>
                  <w14:solidFill>
                    <w14:schemeClr w14:val="tx1"/>
                  </w14:solidFill>
                </w14:textFill>
              </w:rPr>
              <w:t>2.设置网络舆情监测扣分规则，以省委网信办通报为准</w:t>
            </w:r>
            <w:r>
              <w:rPr>
                <w:rFonts w:hint="eastAsia"/>
                <w:color w:val="000000" w:themeColor="text1"/>
                <w:spacing w:val="-2"/>
                <w:highlight w:val="none"/>
                <w:lang w:eastAsia="zh-CN"/>
                <w14:textFill>
                  <w14:solidFill>
                    <w14:schemeClr w14:val="tx1"/>
                  </w14:solidFill>
                </w14:textFill>
              </w:rPr>
              <w:t>，</w:t>
            </w:r>
            <w:r>
              <w:rPr>
                <w:rFonts w:hint="default"/>
                <w:color w:val="000000" w:themeColor="text1"/>
                <w:spacing w:val="-2"/>
                <w:highlight w:val="none"/>
                <w:lang w:val="en-US" w:eastAsia="zh-CN"/>
                <w14:textFill>
                  <w14:solidFill>
                    <w14:schemeClr w14:val="tx1"/>
                  </w14:solidFill>
                </w14:textFill>
              </w:rPr>
              <w:t>区分一般舆情事件、较大舆情事件以及应对处置是否得力进行扣分。一般舆情扣0.1分，较大舆情扣0.2分，每起舆情应对处置不力再扣0.1分，最多扣1分。</w:t>
            </w:r>
          </w:p>
          <w:p>
            <w:pPr>
              <w:pStyle w:val="11"/>
              <w:keepNext w:val="0"/>
              <w:keepLines w:val="0"/>
              <w:pageBreakBefore w:val="0"/>
              <w:kinsoku/>
              <w:wordWrap/>
              <w:overflowPunct/>
              <w:topLinePunct w:val="0"/>
              <w:autoSpaceDE/>
              <w:autoSpaceDN/>
              <w:bidi w:val="0"/>
              <w:adjustRightInd/>
              <w:snapToGrid/>
              <w:spacing w:before="0" w:line="440" w:lineRule="exact"/>
              <w:ind w:right="104" w:rightChars="0"/>
              <w:jc w:val="left"/>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color w:val="000000" w:themeColor="text1"/>
                <w:spacing w:val="-2"/>
                <w:highlight w:val="none"/>
                <w14:textFill>
                  <w14:solidFill>
                    <w14:schemeClr w14:val="tx1"/>
                  </w14:solidFill>
                </w14:textFill>
              </w:rPr>
              <w:t>3.日常满意度及网络舆情监测得分</w:t>
            </w:r>
            <w:r>
              <w:rPr>
                <w:rFonts w:hint="eastAsia"/>
                <w:color w:val="000000" w:themeColor="text1"/>
                <w:spacing w:val="-2"/>
                <w:highlight w:val="none"/>
                <w:lang w:val="en-US" w:eastAsia="zh-CN"/>
                <w14:textFill>
                  <w14:solidFill>
                    <w14:schemeClr w14:val="tx1"/>
                  </w14:solidFill>
                </w14:textFill>
              </w:rPr>
              <w:t>=16-</w:t>
            </w:r>
            <w:r>
              <w:rPr>
                <w:color w:val="000000" w:themeColor="text1"/>
                <w:spacing w:val="-2"/>
                <w:highlight w:val="none"/>
                <w14:textFill>
                  <w14:solidFill>
                    <w14:schemeClr w14:val="tx1"/>
                  </w14:solidFill>
                </w14:textFill>
              </w:rPr>
              <w:t>法人事项日常办件满意度</w:t>
            </w:r>
            <w:r>
              <w:rPr>
                <w:rFonts w:hint="eastAsia"/>
                <w:color w:val="000000" w:themeColor="text1"/>
                <w:spacing w:val="-2"/>
                <w:highlight w:val="none"/>
                <w:lang w:val="en-US" w:eastAsia="zh-CN"/>
                <w14:textFill>
                  <w14:solidFill>
                    <w14:schemeClr w14:val="tx1"/>
                  </w14:solidFill>
                </w14:textFill>
              </w:rPr>
              <w:t>应扣分</w:t>
            </w:r>
            <w:r>
              <w:rPr>
                <w:color w:val="000000" w:themeColor="text1"/>
                <w:spacing w:val="-3"/>
                <w:highlight w:val="none"/>
                <w14:textFill>
                  <w14:solidFill>
                    <w14:schemeClr w14:val="tx1"/>
                  </w14:solidFill>
                </w14:textFill>
              </w:rPr>
              <w:t>-网络舆情</w:t>
            </w:r>
            <w:r>
              <w:rPr>
                <w:rFonts w:hint="eastAsia"/>
                <w:color w:val="000000" w:themeColor="text1"/>
                <w:spacing w:val="-3"/>
                <w:highlight w:val="none"/>
                <w:lang w:val="en-US" w:eastAsia="zh-CN"/>
                <w14:textFill>
                  <w14:solidFill>
                    <w14:schemeClr w14:val="tx1"/>
                  </w14:solidFill>
                </w14:textFill>
              </w:rPr>
              <w:t>监测应</w:t>
            </w:r>
            <w:r>
              <w:rPr>
                <w:color w:val="000000" w:themeColor="text1"/>
                <w:spacing w:val="-23"/>
                <w:highlight w:val="none"/>
                <w14:textFill>
                  <w14:solidFill>
                    <w14:schemeClr w14:val="tx1"/>
                  </w14:solidFill>
                </w14:textFill>
              </w:rPr>
              <w:t>扣分</w:t>
            </w:r>
            <w:r>
              <w:rPr>
                <w:rFonts w:hint="eastAsia"/>
                <w:color w:val="000000" w:themeColor="text1"/>
                <w:spacing w:val="-23"/>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3" w:hRule="atLeast"/>
          <w:jc w:val="center"/>
        </w:trPr>
        <w:tc>
          <w:tcPr>
            <w:tcW w:w="1304" w:type="dxa"/>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strike w:val="0"/>
                <w:dstrike w:val="0"/>
                <w:color w:val="000000" w:themeColor="text1"/>
                <w:kern w:val="0"/>
                <w:sz w:val="24"/>
                <w:highlight w:val="none"/>
                <w:lang w:val="en-US" w:eastAsia="zh-CN" w:bidi="ar"/>
                <w14:textFill>
                  <w14:solidFill>
                    <w14:schemeClr w14:val="tx1"/>
                  </w14:solidFill>
                </w14:textFill>
              </w:rPr>
              <w:t>经营主体</w:t>
            </w:r>
            <w:r>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t>满意度调查</w:t>
            </w:r>
            <w:r>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br w:type="textWrapping"/>
            </w:r>
            <w:r>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t>（</w:t>
            </w:r>
            <w:r>
              <w:rPr>
                <w:rFonts w:hint="eastAsia" w:ascii="仿宋_GB2312" w:hAnsi="仿宋_GB2312" w:eastAsia="仿宋_GB2312" w:cs="仿宋_GB2312"/>
                <w:b/>
                <w:bCs/>
                <w:color w:val="000000" w:themeColor="text1"/>
                <w:kern w:val="0"/>
                <w:sz w:val="24"/>
                <w:highlight w:val="none"/>
                <w:lang w:val="en-US" w:eastAsia="zh-CN" w:bidi="ar"/>
                <w14:textFill>
                  <w14:solidFill>
                    <w14:schemeClr w14:val="tx1"/>
                  </w14:solidFill>
                </w14:textFill>
              </w:rPr>
              <w:t>40分</w:t>
            </w:r>
            <w:r>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t>）</w:t>
            </w:r>
          </w:p>
        </w:tc>
        <w:tc>
          <w:tcPr>
            <w:tcW w:w="17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年度标准问卷满意度调查</w:t>
            </w:r>
          </w:p>
        </w:tc>
        <w:tc>
          <w:tcPr>
            <w:tcW w:w="670" w:type="dxa"/>
            <w:gridSpan w:val="2"/>
            <w:shd w:val="clear" w:color="auto" w:fill="auto"/>
            <w:vAlign w:val="center"/>
          </w:tcPr>
          <w:p>
            <w:pPr>
              <w:pStyle w:val="2"/>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24分</w:t>
            </w:r>
          </w:p>
        </w:tc>
        <w:tc>
          <w:tcPr>
            <w:tcW w:w="1973" w:type="dxa"/>
            <w:shd w:val="clear" w:color="auto" w:fill="auto"/>
            <w:vAlign w:val="center"/>
          </w:tcPr>
          <w:p>
            <w:pPr>
              <w:pStyle w:val="11"/>
              <w:keepNext w:val="0"/>
              <w:keepLines w:val="0"/>
              <w:pageBreakBefore w:val="0"/>
              <w:kinsoku/>
              <w:wordWrap/>
              <w:overflowPunct/>
              <w:topLinePunct w:val="0"/>
              <w:autoSpaceDE/>
              <w:autoSpaceDN/>
              <w:bidi w:val="0"/>
              <w:adjustRightInd/>
              <w:snapToGrid/>
              <w:spacing w:before="78" w:line="440" w:lineRule="exact"/>
              <w:ind w:left="36" w:leftChars="0" w:right="174" w:rightChars="0" w:hanging="16" w:firstLineChars="0"/>
              <w:rPr>
                <w:rFonts w:hint="eastAsia" w:ascii="仿宋_GB2312" w:hAnsi="仿宋_GB2312" w:eastAsia="仿宋_GB2312" w:cs="仿宋_GB2312"/>
                <w:color w:val="000000" w:themeColor="text1"/>
                <w:kern w:val="0"/>
                <w:sz w:val="24"/>
                <w:highlight w:val="none"/>
                <w:lang w:bidi="ar"/>
                <w14:textFill>
                  <w14:solidFill>
                    <w14:schemeClr w14:val="tx1"/>
                  </w14:solidFill>
                </w14:textFill>
              </w:rPr>
            </w:pPr>
            <w:r>
              <w:rPr>
                <w:color w:val="000000" w:themeColor="text1"/>
                <w:spacing w:val="-2"/>
                <w:highlight w:val="none"/>
                <w14:textFill>
                  <w14:solidFill>
                    <w14:schemeClr w14:val="tx1"/>
                  </w14:solidFill>
                </w14:textFill>
              </w:rPr>
              <w:t>各指标经营主体满</w:t>
            </w:r>
            <w:r>
              <w:rPr>
                <w:color w:val="000000" w:themeColor="text1"/>
                <w:spacing w:val="-13"/>
                <w:highlight w:val="none"/>
                <w14:textFill>
                  <w14:solidFill>
                    <w14:schemeClr w14:val="tx1"/>
                  </w14:solidFill>
                </w14:textFill>
              </w:rPr>
              <w:t>意度</w:t>
            </w:r>
          </w:p>
        </w:tc>
        <w:tc>
          <w:tcPr>
            <w:tcW w:w="8880" w:type="dxa"/>
            <w:shd w:val="clear" w:color="auto" w:fill="auto"/>
            <w:vAlign w:val="center"/>
          </w:tcPr>
          <w:p>
            <w:pPr>
              <w:pStyle w:val="11"/>
              <w:keepNext w:val="0"/>
              <w:keepLines w:val="0"/>
              <w:pageBreakBefore w:val="0"/>
              <w:kinsoku/>
              <w:wordWrap/>
              <w:overflowPunct/>
              <w:topLinePunct w:val="0"/>
              <w:autoSpaceDE/>
              <w:autoSpaceDN/>
              <w:bidi w:val="0"/>
              <w:adjustRightInd/>
              <w:snapToGrid/>
              <w:spacing w:before="97" w:line="440" w:lineRule="exact"/>
              <w:ind w:left="22" w:right="15" w:firstLine="15"/>
              <w:jc w:val="left"/>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1.</w:t>
            </w:r>
            <w:r>
              <w:rPr>
                <w:rFonts w:hint="eastAsia"/>
                <w:color w:val="000000" w:themeColor="text1"/>
                <w:spacing w:val="-1"/>
                <w:highlight w:val="none"/>
                <w:lang w:val="en-US" w:eastAsia="zh-CN"/>
                <w14:textFill>
                  <w14:solidFill>
                    <w14:schemeClr w14:val="tx1"/>
                  </w14:solidFill>
                </w14:textFill>
              </w:rPr>
              <w:t>省发改委</w:t>
            </w:r>
            <w:r>
              <w:rPr>
                <w:color w:val="000000" w:themeColor="text1"/>
                <w:spacing w:val="-1"/>
                <w:highlight w:val="none"/>
                <w14:textFill>
                  <w14:solidFill>
                    <w14:schemeClr w14:val="tx1"/>
                  </w14:solidFill>
                </w14:textFill>
              </w:rPr>
              <w:t>会同省有关部门，根据不同指</w:t>
            </w:r>
            <w:r>
              <w:rPr>
                <w:color w:val="000000" w:themeColor="text1"/>
                <w:spacing w:val="-2"/>
                <w:highlight w:val="none"/>
                <w14:textFill>
                  <w14:solidFill>
                    <w14:schemeClr w14:val="tx1"/>
                  </w14:solidFill>
                </w14:textFill>
              </w:rPr>
              <w:t>标特点</w:t>
            </w:r>
            <w:r>
              <w:rPr>
                <w:rFonts w:hint="eastAsia"/>
                <w:color w:val="000000" w:themeColor="text1"/>
                <w:spacing w:val="-2"/>
                <w:highlight w:val="none"/>
                <w:lang w:eastAsia="zh-CN"/>
                <w14:textFill>
                  <w14:solidFill>
                    <w14:schemeClr w14:val="tx1"/>
                  </w14:solidFill>
                </w14:textFill>
              </w:rPr>
              <w:t>，</w:t>
            </w:r>
            <w:r>
              <w:rPr>
                <w:rFonts w:hint="eastAsia"/>
                <w:color w:val="000000" w:themeColor="text1"/>
                <w:spacing w:val="-2"/>
                <w:highlight w:val="none"/>
                <w:lang w:val="en-US" w:eastAsia="zh-CN"/>
                <w14:textFill>
                  <w14:solidFill>
                    <w14:schemeClr w14:val="tx1"/>
                  </w14:solidFill>
                </w14:textFill>
              </w:rPr>
              <w:t>秉承精细化调查原则</w:t>
            </w:r>
            <w:r>
              <w:rPr>
                <w:color w:val="000000" w:themeColor="text1"/>
                <w:spacing w:val="-2"/>
                <w:highlight w:val="none"/>
                <w14:textFill>
                  <w14:solidFill>
                    <w14:schemeClr w14:val="tx1"/>
                  </w14:solidFill>
                </w14:textFill>
              </w:rPr>
              <w:t>，分类设计调查问卷。由</w:t>
            </w:r>
            <w:r>
              <w:rPr>
                <w:rFonts w:hint="eastAsia"/>
                <w:color w:val="000000" w:themeColor="text1"/>
                <w:spacing w:val="-1"/>
                <w:highlight w:val="none"/>
                <w:lang w:val="en-US" w:eastAsia="zh-CN"/>
                <w14:textFill>
                  <w14:solidFill>
                    <w14:schemeClr w14:val="tx1"/>
                  </w14:solidFill>
                </w14:textFill>
              </w:rPr>
              <w:t>省发改委</w:t>
            </w:r>
            <w:r>
              <w:rPr>
                <w:color w:val="000000" w:themeColor="text1"/>
                <w:spacing w:val="-2"/>
                <w:highlight w:val="none"/>
                <w14:textFill>
                  <w14:solidFill>
                    <w14:schemeClr w14:val="tx1"/>
                  </w14:solidFill>
                </w14:textFill>
              </w:rPr>
              <w:t>根</w:t>
            </w:r>
            <w:r>
              <w:rPr>
                <w:color w:val="000000" w:themeColor="text1"/>
                <w:spacing w:val="-1"/>
                <w:highlight w:val="none"/>
                <w14:textFill>
                  <w14:solidFill>
                    <w14:schemeClr w14:val="tx1"/>
                  </w14:solidFill>
                </w14:textFill>
              </w:rPr>
              <w:t>据省有关部门提供的样本框委托第三方机构分类发放调查问卷，或由省相</w:t>
            </w:r>
            <w:r>
              <w:rPr>
                <w:color w:val="000000" w:themeColor="text1"/>
                <w:spacing w:val="-2"/>
                <w:highlight w:val="none"/>
                <w14:textFill>
                  <w14:solidFill>
                    <w14:schemeClr w14:val="tx1"/>
                  </w14:solidFill>
                </w14:textFill>
              </w:rPr>
              <w:t>关部门直接</w:t>
            </w:r>
            <w:r>
              <w:rPr>
                <w:color w:val="000000" w:themeColor="text1"/>
                <w:spacing w:val="-1"/>
                <w:highlight w:val="none"/>
                <w14:textFill>
                  <w14:solidFill>
                    <w14:schemeClr w14:val="tx1"/>
                  </w14:solidFill>
                </w14:textFill>
              </w:rPr>
              <w:t>发放，第三方针对回收结果进行分析计分。</w:t>
            </w:r>
          </w:p>
          <w:p>
            <w:pPr>
              <w:pStyle w:val="11"/>
              <w:keepNext w:val="0"/>
              <w:keepLines w:val="0"/>
              <w:pageBreakBefore w:val="0"/>
              <w:kinsoku/>
              <w:wordWrap/>
              <w:overflowPunct/>
              <w:topLinePunct w:val="0"/>
              <w:autoSpaceDE/>
              <w:autoSpaceDN/>
              <w:bidi w:val="0"/>
              <w:adjustRightInd/>
              <w:snapToGrid/>
              <w:spacing w:before="42" w:line="440" w:lineRule="exact"/>
              <w:ind w:left="21" w:right="15" w:firstLine="10"/>
              <w:jc w:val="left"/>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2.根据问卷调查满意度年度统计结果，采用赋值法</w:t>
            </w:r>
            <w:r>
              <w:rPr>
                <w:color w:val="000000" w:themeColor="text1"/>
                <w:spacing w:val="-2"/>
                <w:highlight w:val="none"/>
                <w14:textFill>
                  <w14:solidFill>
                    <w14:schemeClr w14:val="tx1"/>
                  </w14:solidFill>
                </w14:textFill>
              </w:rPr>
              <w:t>计算</w:t>
            </w:r>
            <w:r>
              <w:rPr>
                <w:color w:val="000000" w:themeColor="text1"/>
                <w:spacing w:val="-1"/>
                <w:highlight w:val="none"/>
                <w14:textFill>
                  <w14:solidFill>
                    <w14:schemeClr w14:val="tx1"/>
                  </w14:solidFill>
                </w14:textFill>
              </w:rPr>
              <w:t>得出问卷调查总得分。</w:t>
            </w:r>
          </w:p>
          <w:p>
            <w:pPr>
              <w:pStyle w:val="11"/>
              <w:keepNext w:val="0"/>
              <w:keepLines w:val="0"/>
              <w:pageBreakBefore w:val="0"/>
              <w:kinsoku/>
              <w:wordWrap/>
              <w:overflowPunct/>
              <w:topLinePunct w:val="0"/>
              <w:autoSpaceDE/>
              <w:autoSpaceDN/>
              <w:bidi w:val="0"/>
              <w:adjustRightInd/>
              <w:snapToGrid/>
              <w:spacing w:before="45" w:line="440" w:lineRule="exact"/>
              <w:ind w:left="25" w:right="15" w:firstLine="15"/>
              <w:jc w:val="left"/>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3.在满意度调查过程中，发现干扰经营主体真实评价的，每发现一起干扰经营主体真</w:t>
            </w:r>
            <w:r>
              <w:rPr>
                <w:color w:val="000000" w:themeColor="text1"/>
                <w:spacing w:val="15"/>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实评价事件，扣</w:t>
            </w:r>
            <w:r>
              <w:rPr>
                <w:rFonts w:hint="eastAsia"/>
                <w:color w:val="000000" w:themeColor="text1"/>
                <w:spacing w:val="-3"/>
                <w:highlight w:val="none"/>
                <w:lang w:val="en-US" w:eastAsia="zh-CN"/>
                <w14:textFill>
                  <w14:solidFill>
                    <w14:schemeClr w14:val="tx1"/>
                  </w14:solidFill>
                </w14:textFill>
              </w:rPr>
              <w:t>0.1</w:t>
            </w:r>
            <w:r>
              <w:rPr>
                <w:color w:val="000000" w:themeColor="text1"/>
                <w:spacing w:val="-3"/>
                <w:highlight w:val="none"/>
                <w14:textFill>
                  <w14:solidFill>
                    <w14:schemeClr w14:val="tx1"/>
                  </w14:solidFill>
                </w14:textFill>
              </w:rPr>
              <w:t>分，封顶扣</w:t>
            </w:r>
            <w:r>
              <w:rPr>
                <w:rFonts w:hint="eastAsia"/>
                <w:color w:val="000000" w:themeColor="text1"/>
                <w:spacing w:val="-3"/>
                <w:highlight w:val="none"/>
                <w:lang w:val="en-US" w:eastAsia="zh-CN"/>
                <w14:textFill>
                  <w14:solidFill>
                    <w14:schemeClr w14:val="tx1"/>
                  </w14:solidFill>
                </w14:textFill>
              </w:rPr>
              <w:t>1</w:t>
            </w:r>
            <w:r>
              <w:rPr>
                <w:color w:val="000000" w:themeColor="text1"/>
                <w:spacing w:val="-49"/>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分。（分别选择九市一区前三个当前回收量最多的区</w:t>
            </w:r>
            <w:r>
              <w:rPr>
                <w:color w:val="000000" w:themeColor="text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县</w:t>
            </w:r>
            <w:r>
              <w:rPr>
                <w:rFonts w:hint="eastAsia"/>
                <w:color w:val="000000" w:themeColor="text1"/>
                <w:spacing w:val="-1"/>
                <w:highlight w:val="none"/>
                <w:lang w:eastAsia="zh-CN"/>
                <w14:textFill>
                  <w14:solidFill>
                    <w14:schemeClr w14:val="tx1"/>
                  </w14:solidFill>
                </w14:textFill>
              </w:rPr>
              <w:t>作为</w:t>
            </w:r>
            <w:r>
              <w:rPr>
                <w:color w:val="000000" w:themeColor="text1"/>
                <w:spacing w:val="-1"/>
                <w:highlight w:val="none"/>
                <w14:textFill>
                  <w14:solidFill>
                    <w14:schemeClr w14:val="tx1"/>
                  </w14:solidFill>
                </w14:textFill>
              </w:rPr>
              <w:t>回访地点，每个区县的回访家数根据当下各设市区的回收情</w:t>
            </w:r>
            <w:r>
              <w:rPr>
                <w:color w:val="000000" w:themeColor="text1"/>
                <w:spacing w:val="-2"/>
                <w:highlight w:val="none"/>
                <w14:textFill>
                  <w14:solidFill>
                    <w14:schemeClr w14:val="tx1"/>
                  </w14:solidFill>
                </w14:textFill>
              </w:rPr>
              <w:t>况制定统一抽样</w:t>
            </w:r>
            <w:r>
              <w:rPr>
                <w:color w:val="000000" w:themeColor="text1"/>
                <w:spacing w:val="-4"/>
                <w:highlight w:val="none"/>
                <w14:textFill>
                  <w14:solidFill>
                    <w14:schemeClr w14:val="tx1"/>
                  </w14:solidFill>
                </w14:textFill>
              </w:rPr>
              <w:t>比例。）</w:t>
            </w:r>
          </w:p>
          <w:p>
            <w:pPr>
              <w:pStyle w:val="11"/>
              <w:keepNext w:val="0"/>
              <w:keepLines w:val="0"/>
              <w:pageBreakBefore w:val="0"/>
              <w:kinsoku/>
              <w:wordWrap/>
              <w:overflowPunct/>
              <w:topLinePunct w:val="0"/>
              <w:autoSpaceDE/>
              <w:autoSpaceDN/>
              <w:bidi w:val="0"/>
              <w:adjustRightInd/>
              <w:snapToGrid/>
              <w:spacing w:before="39" w:line="440" w:lineRule="exact"/>
              <w:ind w:left="24" w:leftChars="0" w:right="224" w:rightChars="0" w:firstLine="6" w:firstLineChars="0"/>
              <w:jc w:val="left"/>
              <w:rPr>
                <w:rFonts w:hint="default"/>
                <w:color w:val="000000" w:themeColor="text1"/>
                <w:highlight w:val="none"/>
                <w:lang w:val="en-US"/>
                <w14:textFill>
                  <w14:solidFill>
                    <w14:schemeClr w14:val="tx1"/>
                  </w14:solidFill>
                </w14:textFill>
              </w:rPr>
            </w:pPr>
            <w:r>
              <w:rPr>
                <w:color w:val="000000" w:themeColor="text1"/>
                <w:spacing w:val="-1"/>
                <w:highlight w:val="none"/>
                <w14:textFill>
                  <w14:solidFill>
                    <w14:schemeClr w14:val="tx1"/>
                  </w14:solidFill>
                </w14:textFill>
              </w:rPr>
              <w:t>4.在标准问卷调查总得分的基础上减去因干扰经营主体真实评价需扣分的部分，得出标准问卷满意度最终得分。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240" w:hRule="atLeast"/>
          <w:jc w:val="center"/>
        </w:trPr>
        <w:tc>
          <w:tcPr>
            <w:tcW w:w="130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创新举措</w:t>
            </w:r>
            <w:r>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t>（</w:t>
            </w:r>
            <w:r>
              <w:rPr>
                <w:rFonts w:hint="eastAsia" w:ascii="仿宋_GB2312" w:hAnsi="仿宋_GB2312" w:eastAsia="仿宋_GB2312" w:cs="仿宋_GB2312"/>
                <w:b/>
                <w:bCs/>
                <w:color w:val="000000" w:themeColor="text1"/>
                <w:kern w:val="0"/>
                <w:sz w:val="24"/>
                <w:highlight w:val="none"/>
                <w:lang w:val="en-US" w:eastAsia="zh-CN" w:bidi="ar"/>
                <w14:textFill>
                  <w14:solidFill>
                    <w14:schemeClr w14:val="tx1"/>
                  </w14:solidFill>
                </w14:textFill>
              </w:rPr>
              <w:t>10分</w:t>
            </w:r>
            <w:r>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t>）</w:t>
            </w:r>
          </w:p>
        </w:tc>
        <w:tc>
          <w:tcPr>
            <w:tcW w:w="17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国家级举措</w:t>
            </w:r>
          </w:p>
        </w:tc>
        <w:tc>
          <w:tcPr>
            <w:tcW w:w="67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5</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分</w:t>
            </w:r>
          </w:p>
        </w:tc>
        <w:tc>
          <w:tcPr>
            <w:tcW w:w="19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得到国家层面认可创新举措情况</w:t>
            </w:r>
          </w:p>
        </w:tc>
        <w:tc>
          <w:tcPr>
            <w:tcW w:w="88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kern w:val="0"/>
                <w:sz w:val="24"/>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每项得到国家层面认可的创新举措</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分。地市</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初轮可报</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10条国家级举措，达到</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5</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条及以上通过的，即</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得</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满分。若</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未</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达到</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5</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条通过，可</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补</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报</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一轮（</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10条国家级举措</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，即两轮每个地市</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合计</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可报20条国家级举措</w:t>
            </w:r>
            <w:r>
              <w:rPr>
                <w:rFonts w:hint="eastAsia" w:ascii="仿宋_GB2312" w:hAnsi="仿宋_GB2312" w:eastAsia="仿宋_GB2312" w:cs="仿宋_GB2312"/>
                <w:color w:val="000000" w:themeColor="text1"/>
                <w:kern w:val="0"/>
                <w:sz w:val="24"/>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详见创新举措认定标准</w:t>
            </w:r>
            <w:r>
              <w:rPr>
                <w:rFonts w:hint="eastAsia" w:ascii="仿宋_GB2312" w:hAnsi="仿宋_GB2312" w:eastAsia="仿宋_GB2312" w:cs="仿宋_GB2312"/>
                <w:color w:val="000000" w:themeColor="text1"/>
                <w:kern w:val="0"/>
                <w:sz w:val="24"/>
                <w:highlight w:val="none"/>
                <w:lang w:eastAsia="zh-CN"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260" w:hRule="atLeast"/>
          <w:jc w:val="center"/>
        </w:trPr>
        <w:tc>
          <w:tcPr>
            <w:tcW w:w="130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hint="eastAsia" w:ascii="仿宋_GB2312" w:hAnsi="仿宋_GB2312" w:eastAsia="仿宋_GB2312" w:cs="仿宋_GB2312"/>
                <w:color w:val="000000" w:themeColor="text1"/>
                <w:sz w:val="24"/>
                <w:highlight w:val="none"/>
                <w14:textFill>
                  <w14:solidFill>
                    <w14:schemeClr w14:val="tx1"/>
                  </w14:solidFill>
                </w14:textFill>
              </w:rPr>
            </w:pPr>
          </w:p>
        </w:tc>
        <w:tc>
          <w:tcPr>
            <w:tcW w:w="17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省级举措</w:t>
            </w:r>
          </w:p>
        </w:tc>
        <w:tc>
          <w:tcPr>
            <w:tcW w:w="67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color w:val="000000" w:themeColor="text1"/>
                <w:kern w:val="0"/>
                <w:sz w:val="24"/>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5</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分</w:t>
            </w:r>
          </w:p>
        </w:tc>
        <w:tc>
          <w:tcPr>
            <w:tcW w:w="19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kern w:val="0"/>
                <w:sz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得到省级层面认可创新举措情况</w:t>
            </w:r>
          </w:p>
        </w:tc>
        <w:tc>
          <w:tcPr>
            <w:tcW w:w="88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kern w:val="0"/>
                <w:sz w:val="24"/>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每项得到省级层面认可的创新举措</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0.5</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分。地市</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初轮可</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报1</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5</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条省级举措，达到</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10</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条及以上通过的，即</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得</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满分。若</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未满足10</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条，可</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补报一轮（</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1</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5</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条省级举措</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，即两轮每个地市</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合计</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可报</w:t>
            </w:r>
            <w:r>
              <w:rPr>
                <w:rFonts w:hint="eastAsia" w:ascii="仿宋_GB2312" w:hAnsi="仿宋_GB2312" w:eastAsia="仿宋_GB2312" w:cs="仿宋_GB2312"/>
                <w:color w:val="000000" w:themeColor="text1"/>
                <w:kern w:val="0"/>
                <w:sz w:val="24"/>
                <w:highlight w:val="none"/>
                <w:lang w:val="en-US" w:eastAsia="zh-CN" w:bidi="ar"/>
                <w14:textFill>
                  <w14:solidFill>
                    <w14:schemeClr w14:val="tx1"/>
                  </w14:solidFill>
                </w14:textFill>
              </w:rPr>
              <w:t>30</w:t>
            </w:r>
            <w:r>
              <w:rPr>
                <w:rFonts w:hint="eastAsia" w:ascii="仿宋_GB2312" w:hAnsi="仿宋_GB2312" w:eastAsia="仿宋_GB2312" w:cs="仿宋_GB2312"/>
                <w:color w:val="000000" w:themeColor="text1"/>
                <w:kern w:val="0"/>
                <w:sz w:val="24"/>
                <w:highlight w:val="none"/>
                <w:lang w:bidi="ar"/>
                <w14:textFill>
                  <w14:solidFill>
                    <w14:schemeClr w14:val="tx1"/>
                  </w14:solidFill>
                </w14:textFill>
              </w:rPr>
              <w:t>条省级举措</w:t>
            </w:r>
            <w:r>
              <w:rPr>
                <w:rFonts w:hint="eastAsia" w:ascii="仿宋_GB2312" w:hAnsi="仿宋_GB2312" w:eastAsia="仿宋_GB2312" w:cs="仿宋_GB2312"/>
                <w:color w:val="000000" w:themeColor="text1"/>
                <w:kern w:val="0"/>
                <w:sz w:val="24"/>
                <w:highlight w:val="none"/>
                <w:lang w:eastAsia="zh-CN"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kern w:val="0"/>
                <w:sz w:val="24"/>
                <w:highlight w:val="none"/>
                <w:lang w:bidi="ar"/>
                <w14:textFill>
                  <w14:solidFill>
                    <w14:schemeClr w14:val="tx1"/>
                  </w14:solidFill>
                </w14:textFill>
              </w:rPr>
            </w:pPr>
            <w:bookmarkStart w:id="0" w:name="_GoBack"/>
            <w:bookmarkEnd w:id="0"/>
          </w:p>
        </w:tc>
      </w:tr>
    </w:tbl>
    <w:p>
      <w:pPr>
        <w:keepNext w:val="0"/>
        <w:keepLines w:val="0"/>
        <w:pageBreakBefore w:val="0"/>
        <w:widowControl/>
        <w:kinsoku/>
        <w:wordWrap/>
        <w:overflowPunct/>
        <w:topLinePunct w:val="0"/>
        <w:autoSpaceDE/>
        <w:autoSpaceDN/>
        <w:bidi w:val="0"/>
        <w:spacing w:line="600" w:lineRule="exact"/>
        <w:jc w:val="left"/>
        <w:rPr>
          <w:rFonts w:hint="eastAsia"/>
          <w:highlight w:val="none"/>
        </w:rPr>
      </w:pPr>
    </w:p>
    <w:sectPr>
      <w:footerReference r:id="rId4" w:type="default"/>
      <w:pgSz w:w="16838" w:h="11906" w:orient="landscape"/>
      <w:pgMar w:top="1800" w:right="1440" w:bottom="14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FangSong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315" w:leftChars="150" w:right="315" w:rightChars="15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ind w:left="315" w:leftChars="150" w:right="315" w:rightChars="15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315" w:leftChars="150" w:right="315" w:rightChars="15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5"/>
                      <w:ind w:left="315" w:leftChars="150" w:right="315" w:rightChars="15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OWY2ZmFhZWQ2Yzk1Y2ViNmQzNWY1MzBiYzUzZWMifQ=="/>
  </w:docVars>
  <w:rsids>
    <w:rsidRoot w:val="026818D3"/>
    <w:rsid w:val="001238C1"/>
    <w:rsid w:val="002F26E7"/>
    <w:rsid w:val="002F58FF"/>
    <w:rsid w:val="003F05B9"/>
    <w:rsid w:val="0053340F"/>
    <w:rsid w:val="005349DD"/>
    <w:rsid w:val="00550F55"/>
    <w:rsid w:val="005536DF"/>
    <w:rsid w:val="00587B45"/>
    <w:rsid w:val="009D333D"/>
    <w:rsid w:val="00A94684"/>
    <w:rsid w:val="00AB77CC"/>
    <w:rsid w:val="00B72B49"/>
    <w:rsid w:val="00BD05A3"/>
    <w:rsid w:val="00C02BA8"/>
    <w:rsid w:val="00CA353A"/>
    <w:rsid w:val="00CF5FAB"/>
    <w:rsid w:val="00D96C05"/>
    <w:rsid w:val="00DC58B1"/>
    <w:rsid w:val="00F300A6"/>
    <w:rsid w:val="026818D3"/>
    <w:rsid w:val="04BF2604"/>
    <w:rsid w:val="04D72B51"/>
    <w:rsid w:val="04FA72F8"/>
    <w:rsid w:val="06125590"/>
    <w:rsid w:val="07441979"/>
    <w:rsid w:val="08D834CD"/>
    <w:rsid w:val="0A4C2014"/>
    <w:rsid w:val="0CC33939"/>
    <w:rsid w:val="0EED1DB1"/>
    <w:rsid w:val="106B3369"/>
    <w:rsid w:val="11EC4E7F"/>
    <w:rsid w:val="128A1C64"/>
    <w:rsid w:val="1301022F"/>
    <w:rsid w:val="132814F6"/>
    <w:rsid w:val="13613B16"/>
    <w:rsid w:val="159D5B06"/>
    <w:rsid w:val="19250C81"/>
    <w:rsid w:val="19434F4F"/>
    <w:rsid w:val="19876AAC"/>
    <w:rsid w:val="1A1460E8"/>
    <w:rsid w:val="1B706F49"/>
    <w:rsid w:val="1C095957"/>
    <w:rsid w:val="1C286DBE"/>
    <w:rsid w:val="1DA24137"/>
    <w:rsid w:val="20962F08"/>
    <w:rsid w:val="216E3585"/>
    <w:rsid w:val="223173F2"/>
    <w:rsid w:val="229C7D22"/>
    <w:rsid w:val="26480AC9"/>
    <w:rsid w:val="27BD6E2E"/>
    <w:rsid w:val="27EC60E8"/>
    <w:rsid w:val="29FB447C"/>
    <w:rsid w:val="2F81183D"/>
    <w:rsid w:val="2FDB8FF2"/>
    <w:rsid w:val="305A5241"/>
    <w:rsid w:val="31A16E73"/>
    <w:rsid w:val="31C36E97"/>
    <w:rsid w:val="336F571E"/>
    <w:rsid w:val="33BFBCBD"/>
    <w:rsid w:val="3452160B"/>
    <w:rsid w:val="35615708"/>
    <w:rsid w:val="38190844"/>
    <w:rsid w:val="38C67B69"/>
    <w:rsid w:val="3B527022"/>
    <w:rsid w:val="3BFD3BFD"/>
    <w:rsid w:val="3D1358B1"/>
    <w:rsid w:val="3DBC5D23"/>
    <w:rsid w:val="3DC90235"/>
    <w:rsid w:val="3DEF5D28"/>
    <w:rsid w:val="3FDFB36D"/>
    <w:rsid w:val="40483F50"/>
    <w:rsid w:val="40996A09"/>
    <w:rsid w:val="43071898"/>
    <w:rsid w:val="45E73A57"/>
    <w:rsid w:val="46DD38F7"/>
    <w:rsid w:val="47470A0E"/>
    <w:rsid w:val="47C3064B"/>
    <w:rsid w:val="49DD1276"/>
    <w:rsid w:val="4CF3683F"/>
    <w:rsid w:val="4EAE7ED7"/>
    <w:rsid w:val="50E0131A"/>
    <w:rsid w:val="52667FAC"/>
    <w:rsid w:val="533229F9"/>
    <w:rsid w:val="534F27A6"/>
    <w:rsid w:val="55B7E37E"/>
    <w:rsid w:val="55D02235"/>
    <w:rsid w:val="56386EFA"/>
    <w:rsid w:val="56670EEF"/>
    <w:rsid w:val="56DD3F0B"/>
    <w:rsid w:val="57AD8AD3"/>
    <w:rsid w:val="584405B5"/>
    <w:rsid w:val="584B55BF"/>
    <w:rsid w:val="586B6A32"/>
    <w:rsid w:val="5AFA576F"/>
    <w:rsid w:val="5CB318A3"/>
    <w:rsid w:val="5DA44746"/>
    <w:rsid w:val="5E3B32A4"/>
    <w:rsid w:val="5F6B5FF1"/>
    <w:rsid w:val="5FCE756B"/>
    <w:rsid w:val="6057601E"/>
    <w:rsid w:val="614B4791"/>
    <w:rsid w:val="623E513D"/>
    <w:rsid w:val="635244AC"/>
    <w:rsid w:val="635B0CBB"/>
    <w:rsid w:val="64C11699"/>
    <w:rsid w:val="65A52BF3"/>
    <w:rsid w:val="665F744E"/>
    <w:rsid w:val="66C43A84"/>
    <w:rsid w:val="682641E4"/>
    <w:rsid w:val="6844202E"/>
    <w:rsid w:val="684B6DE9"/>
    <w:rsid w:val="686D673B"/>
    <w:rsid w:val="6DDA30FB"/>
    <w:rsid w:val="6F173455"/>
    <w:rsid w:val="6FE610B9"/>
    <w:rsid w:val="704E51D9"/>
    <w:rsid w:val="734E514B"/>
    <w:rsid w:val="751F3CEE"/>
    <w:rsid w:val="75732EA6"/>
    <w:rsid w:val="77ADBCA9"/>
    <w:rsid w:val="77DF578D"/>
    <w:rsid w:val="78931606"/>
    <w:rsid w:val="7A9F6AC7"/>
    <w:rsid w:val="7ACAC905"/>
    <w:rsid w:val="7B631176"/>
    <w:rsid w:val="7B776F09"/>
    <w:rsid w:val="7EFF0295"/>
    <w:rsid w:val="7F379FC3"/>
    <w:rsid w:val="7F3DD787"/>
    <w:rsid w:val="7FBD5104"/>
    <w:rsid w:val="7FFC1F48"/>
    <w:rsid w:val="8FF75166"/>
    <w:rsid w:val="AEF72B5C"/>
    <w:rsid w:val="AFF5CA4C"/>
    <w:rsid w:val="BD3D4503"/>
    <w:rsid w:val="BDFF89D8"/>
    <w:rsid w:val="BFBDCA2E"/>
    <w:rsid w:val="C63F0166"/>
    <w:rsid w:val="C7FF7E7C"/>
    <w:rsid w:val="D7668EE0"/>
    <w:rsid w:val="D7FC8732"/>
    <w:rsid w:val="DDDEA871"/>
    <w:rsid w:val="EFF7CD4D"/>
    <w:rsid w:val="F5750AEC"/>
    <w:rsid w:val="F77C2A6E"/>
    <w:rsid w:val="F7F7FB78"/>
    <w:rsid w:val="F99F259A"/>
    <w:rsid w:val="F9A79536"/>
    <w:rsid w:val="FAE921D8"/>
    <w:rsid w:val="FAFD0770"/>
    <w:rsid w:val="FC7FCCBA"/>
    <w:rsid w:val="FDC46631"/>
    <w:rsid w:val="FEEF2308"/>
    <w:rsid w:val="FFA7AE58"/>
    <w:rsid w:val="FFF5C7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styleId="3">
    <w:name w:val="index 5"/>
    <w:basedOn w:val="1"/>
    <w:next w:val="1"/>
    <w:qFormat/>
    <w:uiPriority w:val="0"/>
    <w:pPr>
      <w:ind w:left="168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paragraph" w:customStyle="1" w:styleId="10">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1">
    <w:name w:val="Table Text"/>
    <w:basedOn w:val="1"/>
    <w:semiHidden/>
    <w:qFormat/>
    <w:uiPriority w:val="0"/>
    <w:rPr>
      <w:rFonts w:ascii="FangSong_GB2312" w:hAnsi="FangSong_GB2312" w:eastAsia="FangSong_GB2312" w:cs="FangSong_GB2312"/>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3727</Words>
  <Characters>3802</Characters>
  <Lines>1</Lines>
  <Paragraphs>1</Paragraphs>
  <TotalTime>4</TotalTime>
  <ScaleCrop>false</ScaleCrop>
  <LinksUpToDate>false</LinksUpToDate>
  <CharactersWithSpaces>3818</CharactersWithSpaces>
  <Application>WPS Office_12.8.2.16907_F1E327BC-269C-435d-A152-05C5408002CA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2021-12-06T08:19:00Z</dcterms:created>
  <dc:creator>NTKO</dc:creator>
  <cp:lastModifiedBy>陈海暄</cp:lastModifiedBy>
  <cp:lastPrinted>2025-03-27T01:16:00Z</cp:lastPrinted>
  <dcterms:modified xsi:type="dcterms:W3CDTF">2025-03-26T21:39:19Z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2052-12.8.2.16907</vt:lpwstr>
  </property>
  <property fmtid="{D5CDD505-2E9C-101B-9397-08002B2CF9AE}" pid="3" name="ICV">
    <vt:lpwstr>6CF8A059D17E82A48703E467154A7B28_43</vt:lpwstr>
  </property>
  <property fmtid="{D5CDD505-2E9C-101B-9397-08002B2CF9AE}" pid="4" name="KSOTemplateDocerSaveRecord">
    <vt:lpwstr>eyJoZGlkIjoiNmYyOWY2ZmFhZWQ2Yzk1Y2ViNmQzNWY1MzBiYzUzZWMiLCJ1c2VySWQiOiI0MTc3ODM5ODkifQ==</vt:lpwstr>
  </property>
</Properties>
</file>